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EE2D5" w14:textId="77777777" w:rsidR="00A67B90" w:rsidRDefault="00A67B90" w:rsidP="00A67B90">
      <w:pPr>
        <w:pStyle w:val="NoSpacing"/>
        <w:rPr>
          <w:rFonts w:ascii="Times New Roman" w:hAnsi="Times New Roman"/>
          <w:b/>
          <w:sz w:val="28"/>
          <w:szCs w:val="28"/>
        </w:rPr>
      </w:pPr>
    </w:p>
    <w:p w14:paraId="3F3D11BF" w14:textId="77777777" w:rsidR="003F153D" w:rsidRDefault="003F153D" w:rsidP="00A67B90">
      <w:pPr>
        <w:pStyle w:val="NoSpacing"/>
        <w:rPr>
          <w:rFonts w:ascii="Times New Roman" w:hAnsi="Times New Roman"/>
          <w:b/>
          <w:sz w:val="28"/>
          <w:szCs w:val="28"/>
        </w:rPr>
      </w:pPr>
    </w:p>
    <w:p w14:paraId="0AFDE35E" w14:textId="77777777" w:rsidR="003F153D" w:rsidRDefault="003F153D" w:rsidP="00A67B90">
      <w:pPr>
        <w:pStyle w:val="NoSpacing"/>
        <w:rPr>
          <w:rFonts w:ascii="Times New Roman" w:hAnsi="Times New Roman"/>
          <w:b/>
          <w:sz w:val="28"/>
          <w:szCs w:val="28"/>
        </w:rPr>
      </w:pPr>
    </w:p>
    <w:p w14:paraId="42F0CB96" w14:textId="77777777" w:rsidR="00A67B90" w:rsidRDefault="00A67B90" w:rsidP="00A67B90">
      <w:pPr>
        <w:rPr>
          <w:sz w:val="28"/>
          <w:szCs w:val="28"/>
        </w:rPr>
      </w:pPr>
      <w:r>
        <w:rPr>
          <w:sz w:val="28"/>
          <w:szCs w:val="28"/>
        </w:rPr>
        <w:t>Montague County Appraisal District</w:t>
      </w:r>
    </w:p>
    <w:p w14:paraId="2ABF1AE7" w14:textId="1229D7A3" w:rsidR="00A67B90" w:rsidRDefault="00A67B90" w:rsidP="00A67B90">
      <w:r>
        <w:t>Fall 202</w:t>
      </w:r>
      <w:r w:rsidR="00326AEF">
        <w:t>5</w:t>
      </w:r>
    </w:p>
    <w:p w14:paraId="0077C87E" w14:textId="77777777" w:rsidR="00A67B90" w:rsidRDefault="00A67B90" w:rsidP="00A67B90"/>
    <w:p w14:paraId="0E534293" w14:textId="77777777" w:rsidR="00A67B90" w:rsidRDefault="00A67B90" w:rsidP="00A67B90"/>
    <w:p w14:paraId="2B2DA8BE" w14:textId="77777777" w:rsidR="00A67B90" w:rsidRDefault="00A67B90" w:rsidP="00A67B90"/>
    <w:p w14:paraId="11AF4DDE" w14:textId="77777777" w:rsidR="00A67B90" w:rsidRDefault="00A67B90" w:rsidP="00A67B90"/>
    <w:p w14:paraId="0D4AE866" w14:textId="77777777" w:rsidR="00A67B90" w:rsidRPr="003F153D" w:rsidRDefault="00A67B90" w:rsidP="00A67B90">
      <w:pPr>
        <w:rPr>
          <w:i/>
          <w:iCs/>
        </w:rPr>
      </w:pPr>
    </w:p>
    <w:p w14:paraId="0DC2495E" w14:textId="77777777" w:rsidR="00A67B90" w:rsidRPr="003F153D" w:rsidRDefault="00A67B90" w:rsidP="00A67B90">
      <w:pPr>
        <w:rPr>
          <w:i/>
          <w:iCs/>
        </w:rPr>
      </w:pPr>
      <w:r w:rsidRPr="003F153D">
        <w:rPr>
          <w:i/>
          <w:iCs/>
        </w:rPr>
        <w:t>To the Citizens of Montague County</w:t>
      </w:r>
    </w:p>
    <w:p w14:paraId="71854EBC" w14:textId="77777777" w:rsidR="00A67B90" w:rsidRPr="003F153D" w:rsidRDefault="00A67B90" w:rsidP="00A67B90">
      <w:pPr>
        <w:rPr>
          <w:i/>
          <w:iCs/>
        </w:rPr>
      </w:pPr>
    </w:p>
    <w:p w14:paraId="222A719B" w14:textId="0AB95E50" w:rsidR="00A67B90" w:rsidRPr="003F153D" w:rsidRDefault="00A67B90" w:rsidP="00A67B90">
      <w:pPr>
        <w:rPr>
          <w:i/>
          <w:iCs/>
        </w:rPr>
      </w:pPr>
      <w:r w:rsidRPr="003F153D">
        <w:rPr>
          <w:i/>
          <w:iCs/>
        </w:rPr>
        <w:t>The Montague County Tax Appraisal District has prepared the 202</w:t>
      </w:r>
      <w:r w:rsidR="00326AEF" w:rsidRPr="003F153D">
        <w:rPr>
          <w:i/>
          <w:iCs/>
        </w:rPr>
        <w:t>5</w:t>
      </w:r>
      <w:r w:rsidRPr="003F153D">
        <w:rPr>
          <w:i/>
          <w:iCs/>
        </w:rPr>
        <w:t xml:space="preserve"> Annual Report to </w:t>
      </w:r>
    </w:p>
    <w:p w14:paraId="5155075F" w14:textId="77777777" w:rsidR="00A67B90" w:rsidRPr="003F153D" w:rsidRDefault="00A67B90" w:rsidP="00A67B90">
      <w:pPr>
        <w:rPr>
          <w:i/>
          <w:iCs/>
        </w:rPr>
      </w:pPr>
      <w:r w:rsidRPr="003F153D">
        <w:rPr>
          <w:i/>
          <w:iCs/>
        </w:rPr>
        <w:t>better assist the citizens and taxpayers of Montague County in understanding the responsibilities</w:t>
      </w:r>
    </w:p>
    <w:p w14:paraId="4608ACF7" w14:textId="77777777" w:rsidR="00A67B90" w:rsidRPr="003F153D" w:rsidRDefault="00A67B90" w:rsidP="00A67B90">
      <w:pPr>
        <w:rPr>
          <w:i/>
          <w:iCs/>
        </w:rPr>
      </w:pPr>
      <w:r w:rsidRPr="003F153D">
        <w:rPr>
          <w:i/>
          <w:iCs/>
        </w:rPr>
        <w:t xml:space="preserve">and activities required of the district.  This document highlights the results of our appraisal </w:t>
      </w:r>
    </w:p>
    <w:p w14:paraId="5F44AD88" w14:textId="77777777" w:rsidR="003F153D" w:rsidRPr="003F153D" w:rsidRDefault="00A67B90" w:rsidP="00A67B90">
      <w:pPr>
        <w:rPr>
          <w:i/>
          <w:iCs/>
        </w:rPr>
      </w:pPr>
      <w:r w:rsidRPr="003F153D">
        <w:rPr>
          <w:i/>
          <w:iCs/>
        </w:rPr>
        <w:t xml:space="preserve">activities, appeal process and the measures of compliance as determined by the Comptroller </w:t>
      </w:r>
    </w:p>
    <w:p w14:paraId="55E05752" w14:textId="49085228" w:rsidR="00A67B90" w:rsidRPr="003F153D" w:rsidRDefault="00A67B90" w:rsidP="00A67B90">
      <w:pPr>
        <w:rPr>
          <w:i/>
          <w:iCs/>
        </w:rPr>
      </w:pPr>
      <w:r w:rsidRPr="003F153D">
        <w:rPr>
          <w:i/>
          <w:iCs/>
        </w:rPr>
        <w:t>of Public Accounts-Property Tax Assistance Division.</w:t>
      </w:r>
    </w:p>
    <w:p w14:paraId="1A82CB98" w14:textId="77777777" w:rsidR="00A67B90" w:rsidRPr="003F153D" w:rsidRDefault="00A67B90" w:rsidP="00A67B90">
      <w:pPr>
        <w:rPr>
          <w:i/>
          <w:iCs/>
        </w:rPr>
      </w:pPr>
    </w:p>
    <w:p w14:paraId="26C941CA" w14:textId="77777777" w:rsidR="00A67B90" w:rsidRPr="003F153D" w:rsidRDefault="00A67B90" w:rsidP="00A67B90">
      <w:pPr>
        <w:rPr>
          <w:i/>
          <w:iCs/>
        </w:rPr>
      </w:pPr>
      <w:r w:rsidRPr="003F153D">
        <w:rPr>
          <w:i/>
          <w:iCs/>
        </w:rPr>
        <w:t xml:space="preserve">The Montague County Appraisal District strives to provide uniform and equal appraisals </w:t>
      </w:r>
    </w:p>
    <w:p w14:paraId="11EDA55F" w14:textId="77777777" w:rsidR="00A67B90" w:rsidRPr="003F153D" w:rsidRDefault="00A67B90" w:rsidP="00A67B90">
      <w:pPr>
        <w:rPr>
          <w:i/>
          <w:iCs/>
        </w:rPr>
      </w:pPr>
      <w:r w:rsidRPr="003F153D">
        <w:rPr>
          <w:i/>
          <w:iCs/>
        </w:rPr>
        <w:t>required by the Texas Property Tax Code.  With this in mind, the board of directors and</w:t>
      </w:r>
    </w:p>
    <w:p w14:paraId="64EDEFD2" w14:textId="77777777" w:rsidR="00A67B90" w:rsidRPr="003F153D" w:rsidRDefault="00A67B90" w:rsidP="00A67B90">
      <w:pPr>
        <w:rPr>
          <w:i/>
          <w:iCs/>
        </w:rPr>
      </w:pPr>
      <w:r w:rsidRPr="003F153D">
        <w:rPr>
          <w:i/>
          <w:iCs/>
        </w:rPr>
        <w:t xml:space="preserve"> management of the district are committed to the education of our staff.  The district has three </w:t>
      </w:r>
    </w:p>
    <w:p w14:paraId="171641FA" w14:textId="77777777" w:rsidR="00A67B90" w:rsidRPr="003F153D" w:rsidRDefault="00A67B90" w:rsidP="00A67B90">
      <w:pPr>
        <w:rPr>
          <w:i/>
          <w:iCs/>
        </w:rPr>
      </w:pPr>
      <w:r w:rsidRPr="003F153D">
        <w:rPr>
          <w:i/>
          <w:iCs/>
        </w:rPr>
        <w:t xml:space="preserve">staff members registered with the Texas Department of Licensing and Regulation and two have </w:t>
      </w:r>
    </w:p>
    <w:p w14:paraId="4BEDE2DF" w14:textId="77777777" w:rsidR="00A67B90" w:rsidRPr="003F153D" w:rsidRDefault="00A67B90" w:rsidP="00A67B90">
      <w:pPr>
        <w:rPr>
          <w:i/>
          <w:iCs/>
        </w:rPr>
      </w:pPr>
      <w:r w:rsidRPr="003F153D">
        <w:rPr>
          <w:i/>
          <w:iCs/>
        </w:rPr>
        <w:t>attained the designation of Registered Professional Appraiser.  The district works diligently to</w:t>
      </w:r>
    </w:p>
    <w:p w14:paraId="002550B2" w14:textId="77777777" w:rsidR="00A67B90" w:rsidRPr="003F153D" w:rsidRDefault="00A67B90" w:rsidP="00A67B90">
      <w:pPr>
        <w:rPr>
          <w:i/>
          <w:iCs/>
        </w:rPr>
      </w:pPr>
      <w:r w:rsidRPr="003F153D">
        <w:rPr>
          <w:i/>
          <w:iCs/>
        </w:rPr>
        <w:t>provide excellent customer service to all that come in contact with our office which again starts with an educated and professional staff.</w:t>
      </w:r>
    </w:p>
    <w:p w14:paraId="32955B50" w14:textId="77777777" w:rsidR="00A67B90" w:rsidRPr="003F153D" w:rsidRDefault="00A67B90" w:rsidP="00A67B90">
      <w:pPr>
        <w:rPr>
          <w:i/>
          <w:iCs/>
        </w:rPr>
      </w:pPr>
    </w:p>
    <w:p w14:paraId="26DCCAB5" w14:textId="77777777" w:rsidR="00A67B90" w:rsidRPr="003F153D" w:rsidRDefault="00A67B90" w:rsidP="00A67B90">
      <w:pPr>
        <w:rPr>
          <w:i/>
          <w:iCs/>
        </w:rPr>
      </w:pPr>
      <w:r w:rsidRPr="003F153D">
        <w:rPr>
          <w:i/>
          <w:iCs/>
        </w:rPr>
        <w:t>I hope to find this report informative and encourage you to review other information on our website to further your understanding of the property tax system in Texas.</w:t>
      </w:r>
    </w:p>
    <w:p w14:paraId="7F593DEB" w14:textId="77777777" w:rsidR="00A67B90" w:rsidRPr="003F153D" w:rsidRDefault="00A67B90" w:rsidP="00A67B90">
      <w:pPr>
        <w:rPr>
          <w:i/>
          <w:iCs/>
        </w:rPr>
      </w:pPr>
    </w:p>
    <w:p w14:paraId="1DA95B1B" w14:textId="77777777" w:rsidR="00A67B90" w:rsidRPr="003F153D" w:rsidRDefault="00A67B90" w:rsidP="00A67B90">
      <w:pPr>
        <w:rPr>
          <w:i/>
          <w:iCs/>
        </w:rPr>
      </w:pPr>
    </w:p>
    <w:p w14:paraId="0518E2AB" w14:textId="77777777" w:rsidR="00A67B90" w:rsidRPr="003F153D" w:rsidRDefault="00A67B90" w:rsidP="00A67B90">
      <w:pPr>
        <w:rPr>
          <w:i/>
          <w:iCs/>
        </w:rPr>
      </w:pPr>
      <w:r w:rsidRPr="003F153D">
        <w:rPr>
          <w:i/>
          <w:iCs/>
        </w:rPr>
        <w:t>Sincerely,</w:t>
      </w:r>
    </w:p>
    <w:p w14:paraId="26BC7504" w14:textId="77777777" w:rsidR="00A67B90" w:rsidRDefault="00A67B90" w:rsidP="00A67B90"/>
    <w:p w14:paraId="26E1EB74" w14:textId="77777777" w:rsidR="00A67B90" w:rsidRDefault="00A67B90" w:rsidP="00A67B90"/>
    <w:p w14:paraId="4412822E" w14:textId="77777777" w:rsidR="00A67B90" w:rsidRDefault="00A67B90" w:rsidP="00A67B90">
      <w:pPr>
        <w:rPr>
          <w:rFonts w:ascii="Lucida Handwriting" w:hAnsi="Lucida Handwriting"/>
        </w:rPr>
      </w:pPr>
      <w:r>
        <w:rPr>
          <w:rFonts w:ascii="Lucida Handwriting" w:hAnsi="Lucida Handwriting"/>
        </w:rPr>
        <w:t xml:space="preserve">Kim Haralson </w:t>
      </w:r>
    </w:p>
    <w:p w14:paraId="1518EBAA" w14:textId="77777777" w:rsidR="00A67B90" w:rsidRDefault="00A67B90" w:rsidP="00A67B90">
      <w:pPr>
        <w:rPr>
          <w:rFonts w:ascii="Lucida Handwriting" w:hAnsi="Lucida Handwriting"/>
        </w:rPr>
      </w:pPr>
    </w:p>
    <w:p w14:paraId="7815A123" w14:textId="77777777" w:rsidR="00A67B90" w:rsidRPr="00493B90" w:rsidRDefault="00A67B90" w:rsidP="00A67B90">
      <w:pPr>
        <w:rPr>
          <w:rFonts w:ascii="Calibri" w:hAnsi="Calibri"/>
        </w:rPr>
      </w:pPr>
      <w:r>
        <w:t xml:space="preserve">Kim Haralson </w:t>
      </w:r>
      <w:proofErr w:type="gramStart"/>
      <w:r>
        <w:t>RPA,RTA</w:t>
      </w:r>
      <w:proofErr w:type="gramEnd"/>
      <w:r>
        <w:t>,</w:t>
      </w:r>
      <w:proofErr w:type="gramStart"/>
      <w:r>
        <w:t>CTA,CCA</w:t>
      </w:r>
      <w:proofErr w:type="gramEnd"/>
    </w:p>
    <w:p w14:paraId="70D3A762" w14:textId="77777777" w:rsidR="00A67B90" w:rsidRPr="003F153D" w:rsidRDefault="00A67B90" w:rsidP="00A67B90">
      <w:r>
        <w:t xml:space="preserve">Chief Appraiser </w:t>
      </w:r>
    </w:p>
    <w:p w14:paraId="02C95B8F" w14:textId="77777777" w:rsidR="00A67B90" w:rsidRDefault="00A67B90" w:rsidP="00A67B90"/>
    <w:p w14:paraId="01CA214B" w14:textId="77777777" w:rsidR="00A67B90" w:rsidRDefault="00A67B90" w:rsidP="00A67B90"/>
    <w:p w14:paraId="426BF165" w14:textId="77777777" w:rsidR="00A67B90" w:rsidRDefault="00A67B90" w:rsidP="00A67B90">
      <w:pPr>
        <w:pStyle w:val="NoSpacing"/>
        <w:rPr>
          <w:rFonts w:ascii="Times New Roman" w:hAnsi="Times New Roman"/>
          <w:b/>
          <w:sz w:val="28"/>
          <w:szCs w:val="28"/>
        </w:rPr>
      </w:pPr>
    </w:p>
    <w:p w14:paraId="4218948A" w14:textId="77777777" w:rsidR="00A67B90" w:rsidRDefault="00A67B90" w:rsidP="00A67B90">
      <w:pPr>
        <w:pStyle w:val="NoSpacing"/>
        <w:rPr>
          <w:rFonts w:ascii="Times New Roman" w:hAnsi="Times New Roman"/>
          <w:b/>
          <w:sz w:val="28"/>
          <w:szCs w:val="28"/>
        </w:rPr>
      </w:pPr>
    </w:p>
    <w:p w14:paraId="44075710" w14:textId="77777777" w:rsidR="00A67B90" w:rsidRDefault="00A67B90" w:rsidP="00A67B90">
      <w:pPr>
        <w:pStyle w:val="NoSpacing"/>
        <w:rPr>
          <w:rFonts w:ascii="Times New Roman" w:hAnsi="Times New Roman"/>
          <w:b/>
          <w:sz w:val="28"/>
          <w:szCs w:val="28"/>
        </w:rPr>
      </w:pPr>
    </w:p>
    <w:p w14:paraId="68A3CDFD" w14:textId="77777777" w:rsidR="00A67B90" w:rsidRDefault="00A67B90" w:rsidP="00A67B90">
      <w:pPr>
        <w:pStyle w:val="NoSpacing"/>
        <w:rPr>
          <w:rFonts w:ascii="Times New Roman" w:hAnsi="Times New Roman"/>
          <w:b/>
          <w:sz w:val="28"/>
          <w:szCs w:val="28"/>
        </w:rPr>
      </w:pPr>
    </w:p>
    <w:p w14:paraId="6F224031" w14:textId="77777777" w:rsidR="00A67B90" w:rsidRDefault="00A67B90" w:rsidP="00A67B90">
      <w:pPr>
        <w:pStyle w:val="NoSpacing"/>
        <w:rPr>
          <w:rFonts w:ascii="Times New Roman" w:hAnsi="Times New Roman"/>
          <w:b/>
          <w:sz w:val="28"/>
          <w:szCs w:val="28"/>
        </w:rPr>
      </w:pPr>
    </w:p>
    <w:p w14:paraId="10059D7A" w14:textId="77777777" w:rsidR="00A67B90" w:rsidRDefault="00A67B90" w:rsidP="00A67B90">
      <w:pPr>
        <w:pStyle w:val="NoSpacing"/>
        <w:rPr>
          <w:rFonts w:ascii="Times New Roman" w:hAnsi="Times New Roman"/>
          <w:b/>
          <w:sz w:val="28"/>
          <w:szCs w:val="28"/>
        </w:rPr>
      </w:pPr>
    </w:p>
    <w:p w14:paraId="42770698" w14:textId="77777777" w:rsidR="00A67B90" w:rsidRDefault="00A67B90" w:rsidP="00A67B90">
      <w:pPr>
        <w:pStyle w:val="NoSpacing"/>
        <w:rPr>
          <w:rFonts w:ascii="Times New Roman" w:hAnsi="Times New Roman"/>
          <w:b/>
          <w:sz w:val="28"/>
          <w:szCs w:val="28"/>
        </w:rPr>
      </w:pPr>
    </w:p>
    <w:p w14:paraId="6B44D4AD" w14:textId="77777777" w:rsidR="00A67B90" w:rsidRDefault="00A67B90" w:rsidP="00A67B90">
      <w:pPr>
        <w:pStyle w:val="NoSpacing"/>
        <w:rPr>
          <w:rFonts w:ascii="Times New Roman" w:hAnsi="Times New Roman"/>
          <w:b/>
          <w:sz w:val="28"/>
          <w:szCs w:val="28"/>
        </w:rPr>
      </w:pPr>
    </w:p>
    <w:p w14:paraId="4A9FDA6C" w14:textId="77777777" w:rsidR="00A67B90" w:rsidRDefault="00A67B90" w:rsidP="00A67B90">
      <w:pPr>
        <w:pStyle w:val="NoSpacing"/>
        <w:rPr>
          <w:rFonts w:ascii="Times New Roman" w:hAnsi="Times New Roman"/>
          <w:b/>
          <w:sz w:val="28"/>
          <w:szCs w:val="28"/>
        </w:rPr>
      </w:pPr>
    </w:p>
    <w:p w14:paraId="718B3886" w14:textId="77777777" w:rsidR="00A67B90" w:rsidRDefault="00A67B90" w:rsidP="00A67B90">
      <w:pPr>
        <w:pStyle w:val="NoSpacing"/>
        <w:rPr>
          <w:rFonts w:ascii="Times New Roman" w:hAnsi="Times New Roman"/>
          <w:b/>
          <w:sz w:val="28"/>
          <w:szCs w:val="28"/>
        </w:rPr>
      </w:pPr>
    </w:p>
    <w:p w14:paraId="05045DFA" w14:textId="77777777" w:rsidR="00A67B90" w:rsidRDefault="00A67B90" w:rsidP="00A67B90">
      <w:pPr>
        <w:pStyle w:val="NoSpacing"/>
        <w:rPr>
          <w:rFonts w:ascii="Times New Roman" w:hAnsi="Times New Roman"/>
          <w:b/>
          <w:sz w:val="28"/>
          <w:szCs w:val="28"/>
        </w:rPr>
      </w:pPr>
    </w:p>
    <w:p w14:paraId="1395E583" w14:textId="77777777" w:rsidR="00A67B90" w:rsidRDefault="00A67B90" w:rsidP="00A67B90">
      <w:pPr>
        <w:pStyle w:val="NoSpacing"/>
        <w:rPr>
          <w:rFonts w:ascii="Times New Roman" w:hAnsi="Times New Roman"/>
          <w:b/>
          <w:sz w:val="28"/>
          <w:szCs w:val="28"/>
        </w:rPr>
      </w:pPr>
    </w:p>
    <w:p w14:paraId="2A4793AA" w14:textId="77777777" w:rsidR="00A67B90" w:rsidRDefault="00A67B90" w:rsidP="00A67B90">
      <w:pPr>
        <w:pStyle w:val="NoSpacing"/>
        <w:rPr>
          <w:rFonts w:ascii="Times New Roman" w:hAnsi="Times New Roman"/>
          <w:b/>
          <w:sz w:val="28"/>
          <w:szCs w:val="28"/>
        </w:rPr>
      </w:pPr>
    </w:p>
    <w:p w14:paraId="16F8B6DA" w14:textId="03F6ABA6" w:rsidR="00A67B90" w:rsidRDefault="00A67B90" w:rsidP="00A67B90">
      <w:pPr>
        <w:pStyle w:val="NoSpacing"/>
        <w:rPr>
          <w:rFonts w:ascii="Times New Roman" w:hAnsi="Times New Roman"/>
          <w:b/>
          <w:sz w:val="28"/>
          <w:szCs w:val="28"/>
        </w:rPr>
      </w:pPr>
      <w:r>
        <w:rPr>
          <w:rFonts w:ascii="Times New Roman" w:hAnsi="Times New Roman"/>
          <w:b/>
          <w:sz w:val="28"/>
          <w:szCs w:val="28"/>
        </w:rPr>
        <w:t>Montague County Appraisal District - 202</w:t>
      </w:r>
      <w:r w:rsidR="00326AEF">
        <w:rPr>
          <w:rFonts w:ascii="Times New Roman" w:hAnsi="Times New Roman"/>
          <w:b/>
          <w:sz w:val="28"/>
          <w:szCs w:val="28"/>
        </w:rPr>
        <w:t>5</w:t>
      </w:r>
      <w:r>
        <w:rPr>
          <w:rFonts w:ascii="Times New Roman" w:hAnsi="Times New Roman"/>
          <w:b/>
          <w:sz w:val="28"/>
          <w:szCs w:val="28"/>
        </w:rPr>
        <w:t xml:space="preserve"> </w:t>
      </w:r>
      <w:r w:rsidRPr="00871ACA">
        <w:rPr>
          <w:rFonts w:ascii="Times New Roman" w:hAnsi="Times New Roman"/>
          <w:b/>
          <w:sz w:val="28"/>
          <w:szCs w:val="28"/>
        </w:rPr>
        <w:t>Local Annual Report</w:t>
      </w:r>
    </w:p>
    <w:p w14:paraId="5E8B97B8" w14:textId="77777777" w:rsidR="00A67B90" w:rsidRDefault="00A67B90" w:rsidP="00A67B90">
      <w:pPr>
        <w:pStyle w:val="NoSpacing"/>
        <w:rPr>
          <w:rFonts w:ascii="Times New Roman" w:hAnsi="Times New Roman"/>
          <w:b/>
          <w:sz w:val="28"/>
          <w:szCs w:val="28"/>
        </w:rPr>
      </w:pPr>
    </w:p>
    <w:p w14:paraId="2C485579" w14:textId="77777777" w:rsidR="00A67B90" w:rsidRDefault="00A67B90" w:rsidP="00A67B90">
      <w:pPr>
        <w:pStyle w:val="NoSpacing"/>
        <w:rPr>
          <w:rFonts w:ascii="Times New Roman" w:hAnsi="Times New Roman"/>
          <w:sz w:val="24"/>
          <w:szCs w:val="24"/>
        </w:rPr>
      </w:pPr>
      <w:r>
        <w:rPr>
          <w:rFonts w:ascii="Times New Roman" w:hAnsi="Times New Roman"/>
          <w:sz w:val="24"/>
          <w:szCs w:val="24"/>
        </w:rPr>
        <w:t xml:space="preserve">The Montague County Appraisal District is a political subdivision of the State of Texas.  The provisions of the Texas Property Tax Code govern the legal, statutory, and administrative requirements of the appraisal district.  Members of the Board of Director’s are elected by the taxing units within the boundaries of Montague County.  The chief appraiser, appointed by the Board of Directors, is the chief administrator and chief executive officer of the appraisal district.  The appraisal district is responsible for local property tax appraisal and exemption administration.  Property appraisals by the district allocate the year’s tax burden on the basis of each taxable property’s market value.  We also determine eligibility for various types of property tax exemptions such as those for homeowner’s, the elderly, medical, disabled veterans, charitable and religious organizations, and agricultural productivity valuation.  </w:t>
      </w:r>
    </w:p>
    <w:p w14:paraId="6E03BE73" w14:textId="77777777" w:rsidR="00A67B90" w:rsidRDefault="00A67B90" w:rsidP="00A67B90">
      <w:pPr>
        <w:pStyle w:val="NoSpacing"/>
        <w:rPr>
          <w:rFonts w:ascii="Times New Roman" w:hAnsi="Times New Roman"/>
          <w:sz w:val="24"/>
          <w:szCs w:val="24"/>
        </w:rPr>
      </w:pPr>
    </w:p>
    <w:p w14:paraId="20AE2429" w14:textId="77777777" w:rsidR="00A67B90" w:rsidRDefault="00A67B90" w:rsidP="00A67B90">
      <w:pPr>
        <w:pStyle w:val="NoSpacing"/>
        <w:rPr>
          <w:rFonts w:ascii="Times New Roman" w:hAnsi="Times New Roman"/>
          <w:sz w:val="24"/>
          <w:szCs w:val="24"/>
        </w:rPr>
      </w:pPr>
      <w:r>
        <w:rPr>
          <w:rFonts w:ascii="Times New Roman" w:hAnsi="Times New Roman"/>
          <w:sz w:val="24"/>
          <w:szCs w:val="24"/>
        </w:rPr>
        <w:t>The Montague CAD serves the following taxing jurisdictions:</w:t>
      </w:r>
    </w:p>
    <w:p w14:paraId="53ADFF67" w14:textId="77777777" w:rsidR="00A67B90" w:rsidRPr="009436A4" w:rsidRDefault="00A67B90" w:rsidP="00A67B90">
      <w:pPr>
        <w:pStyle w:val="NoSpacing"/>
        <w:rPr>
          <w:rFonts w:ascii="Times New Roman" w:hAnsi="Times New Roman"/>
          <w:b/>
          <w:sz w:val="24"/>
          <w:szCs w:val="24"/>
          <w:u w:val="single"/>
        </w:rPr>
      </w:pPr>
      <w:r>
        <w:rPr>
          <w:rFonts w:ascii="Times New Roman" w:hAnsi="Times New Roman"/>
          <w:sz w:val="24"/>
          <w:szCs w:val="24"/>
        </w:rPr>
        <w:tab/>
      </w:r>
      <w:r w:rsidRPr="00E735AF">
        <w:rPr>
          <w:rFonts w:ascii="Times New Roman" w:hAnsi="Times New Roman"/>
          <w:b/>
          <w:sz w:val="24"/>
          <w:szCs w:val="24"/>
          <w:u w:val="single"/>
        </w:rPr>
        <w:t>Taxing Unit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735AF">
        <w:rPr>
          <w:rFonts w:ascii="Times New Roman" w:hAnsi="Times New Roman"/>
          <w:b/>
          <w:sz w:val="24"/>
          <w:szCs w:val="24"/>
          <w:u w:val="single"/>
        </w:rPr>
        <w:t>Market Value</w:t>
      </w:r>
      <w:r>
        <w:rPr>
          <w:rFonts w:ascii="Times New Roman" w:hAnsi="Times New Roman"/>
          <w:b/>
          <w:sz w:val="24"/>
          <w:szCs w:val="24"/>
          <w:u w:val="single"/>
        </w:rPr>
        <w:tab/>
      </w:r>
      <w:r>
        <w:rPr>
          <w:rFonts w:ascii="Times New Roman" w:hAnsi="Times New Roman"/>
          <w:b/>
          <w:sz w:val="24"/>
          <w:szCs w:val="24"/>
        </w:rPr>
        <w:tab/>
      </w:r>
      <w:r w:rsidRPr="009436A4">
        <w:rPr>
          <w:rFonts w:ascii="Times New Roman" w:hAnsi="Times New Roman"/>
          <w:b/>
          <w:sz w:val="24"/>
          <w:szCs w:val="24"/>
          <w:u w:val="single"/>
        </w:rPr>
        <w:t>Taxable Value</w:t>
      </w:r>
    </w:p>
    <w:p w14:paraId="552BE955" w14:textId="77777777" w:rsidR="00A67B90" w:rsidRPr="009436A4" w:rsidRDefault="00A67B90" w:rsidP="00A67B90">
      <w:pPr>
        <w:pStyle w:val="NoSpacing"/>
        <w:rPr>
          <w:rFonts w:ascii="Times New Roman" w:hAnsi="Times New Roman"/>
          <w:sz w:val="24"/>
          <w:szCs w:val="24"/>
          <w:u w:val="single"/>
        </w:rPr>
      </w:pPr>
    </w:p>
    <w:p w14:paraId="10A356B2" w14:textId="372EC45B" w:rsidR="00A67B90" w:rsidRPr="00A20F07" w:rsidRDefault="00A67B90" w:rsidP="00A67B90">
      <w:pPr>
        <w:pStyle w:val="NoSpacing"/>
        <w:numPr>
          <w:ilvl w:val="0"/>
          <w:numId w:val="1"/>
        </w:numPr>
        <w:rPr>
          <w:rFonts w:ascii="Times New Roman" w:hAnsi="Times New Roman"/>
          <w:sz w:val="24"/>
          <w:szCs w:val="24"/>
        </w:rPr>
      </w:pPr>
      <w:r>
        <w:rPr>
          <w:rFonts w:ascii="Times New Roman" w:hAnsi="Times New Roman"/>
          <w:sz w:val="24"/>
          <w:szCs w:val="24"/>
        </w:rPr>
        <w:t xml:space="preserve">Montague County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26AEF">
        <w:rPr>
          <w:rFonts w:ascii="Times New Roman" w:hAnsi="Times New Roman"/>
          <w:sz w:val="24"/>
          <w:szCs w:val="24"/>
        </w:rPr>
        <w:t>7,470,529,045</w:t>
      </w:r>
      <w:r>
        <w:rPr>
          <w:rFonts w:ascii="Times New Roman" w:hAnsi="Times New Roman"/>
          <w:sz w:val="24"/>
          <w:szCs w:val="24"/>
        </w:rPr>
        <w:tab/>
      </w:r>
      <w:r w:rsidR="00026262">
        <w:rPr>
          <w:rFonts w:ascii="Times New Roman" w:hAnsi="Times New Roman"/>
          <w:sz w:val="24"/>
          <w:szCs w:val="24"/>
        </w:rPr>
        <w:t>$ 2,919,799,290</w:t>
      </w:r>
      <w:r>
        <w:rPr>
          <w:rFonts w:ascii="Times New Roman" w:hAnsi="Times New Roman"/>
          <w:sz w:val="24"/>
          <w:szCs w:val="24"/>
        </w:rPr>
        <w:t xml:space="preserve"> </w:t>
      </w:r>
    </w:p>
    <w:p w14:paraId="6541A4F5" w14:textId="2700ED38" w:rsidR="00A67B90" w:rsidRPr="00F423CB" w:rsidRDefault="00A67B90" w:rsidP="00A67B90">
      <w:pPr>
        <w:pStyle w:val="NoSpacing"/>
        <w:numPr>
          <w:ilvl w:val="0"/>
          <w:numId w:val="1"/>
        </w:numPr>
        <w:rPr>
          <w:rFonts w:ascii="Times New Roman" w:hAnsi="Times New Roman"/>
          <w:sz w:val="24"/>
          <w:szCs w:val="24"/>
        </w:rPr>
      </w:pPr>
      <w:r w:rsidRPr="00F423CB">
        <w:rPr>
          <w:rFonts w:ascii="Times New Roman" w:hAnsi="Times New Roman"/>
          <w:sz w:val="24"/>
          <w:szCs w:val="24"/>
        </w:rPr>
        <w:t>Alvord ISD</w:t>
      </w:r>
      <w:r w:rsidRPr="00F423CB">
        <w:rPr>
          <w:rFonts w:ascii="Times New Roman" w:hAnsi="Times New Roman"/>
          <w:sz w:val="24"/>
          <w:szCs w:val="24"/>
        </w:rPr>
        <w:tab/>
      </w:r>
      <w:r w:rsidRPr="00F423CB">
        <w:rPr>
          <w:rFonts w:ascii="Times New Roman" w:hAnsi="Times New Roman"/>
          <w:sz w:val="24"/>
          <w:szCs w:val="24"/>
        </w:rPr>
        <w:tab/>
      </w:r>
      <w:r w:rsidRPr="00F423CB">
        <w:rPr>
          <w:rFonts w:ascii="Times New Roman" w:hAnsi="Times New Roman"/>
          <w:sz w:val="24"/>
          <w:szCs w:val="24"/>
        </w:rPr>
        <w:tab/>
      </w:r>
      <w:r w:rsidRPr="00F423CB">
        <w:rPr>
          <w:rFonts w:ascii="Times New Roman" w:hAnsi="Times New Roman"/>
          <w:sz w:val="24"/>
          <w:szCs w:val="24"/>
        </w:rPr>
        <w:tab/>
        <w:t xml:space="preserve">$  </w:t>
      </w:r>
      <w:r>
        <w:rPr>
          <w:rFonts w:ascii="Times New Roman" w:hAnsi="Times New Roman"/>
          <w:sz w:val="24"/>
          <w:szCs w:val="24"/>
        </w:rPr>
        <w:t xml:space="preserve">    </w:t>
      </w:r>
      <w:r w:rsidR="00326AEF">
        <w:rPr>
          <w:rFonts w:ascii="Times New Roman" w:hAnsi="Times New Roman"/>
          <w:sz w:val="24"/>
          <w:szCs w:val="24"/>
        </w:rPr>
        <w:t>93,627,410</w:t>
      </w:r>
      <w:r w:rsidRPr="00F423CB">
        <w:rPr>
          <w:rFonts w:ascii="Times New Roman" w:hAnsi="Times New Roman"/>
          <w:sz w:val="24"/>
          <w:szCs w:val="24"/>
        </w:rPr>
        <w:tab/>
        <w:t xml:space="preserve">$     </w:t>
      </w:r>
      <w:r>
        <w:rPr>
          <w:rFonts w:ascii="Times New Roman" w:hAnsi="Times New Roman"/>
          <w:sz w:val="24"/>
          <w:szCs w:val="24"/>
        </w:rPr>
        <w:t xml:space="preserve">  </w:t>
      </w:r>
      <w:r w:rsidR="00326AEF">
        <w:rPr>
          <w:rFonts w:ascii="Times New Roman" w:hAnsi="Times New Roman"/>
          <w:sz w:val="24"/>
          <w:szCs w:val="24"/>
        </w:rPr>
        <w:t>46,179,603</w:t>
      </w:r>
    </w:p>
    <w:p w14:paraId="226230FC" w14:textId="1D9CA778" w:rsidR="00A67B90" w:rsidRPr="00453590" w:rsidRDefault="00A67B90" w:rsidP="00A67B90">
      <w:pPr>
        <w:pStyle w:val="NoSpacing"/>
        <w:numPr>
          <w:ilvl w:val="0"/>
          <w:numId w:val="1"/>
        </w:numPr>
        <w:rPr>
          <w:rFonts w:ascii="Times New Roman" w:hAnsi="Times New Roman"/>
          <w:sz w:val="24"/>
          <w:szCs w:val="24"/>
        </w:rPr>
      </w:pPr>
      <w:r>
        <w:rPr>
          <w:rFonts w:ascii="Times New Roman" w:hAnsi="Times New Roman"/>
          <w:sz w:val="24"/>
          <w:szCs w:val="24"/>
        </w:rPr>
        <w:t>Bowie ISD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326AEF">
        <w:rPr>
          <w:rFonts w:ascii="Times New Roman" w:hAnsi="Times New Roman"/>
          <w:sz w:val="24"/>
          <w:szCs w:val="24"/>
        </w:rPr>
        <w:t>3,005,384,352</w:t>
      </w:r>
      <w:r>
        <w:rPr>
          <w:rFonts w:ascii="Times New Roman" w:hAnsi="Times New Roman"/>
          <w:sz w:val="24"/>
          <w:szCs w:val="24"/>
        </w:rPr>
        <w:tab/>
      </w:r>
      <w:r w:rsidR="00026262">
        <w:rPr>
          <w:rFonts w:ascii="Times New Roman" w:hAnsi="Times New Roman"/>
          <w:sz w:val="24"/>
          <w:szCs w:val="24"/>
        </w:rPr>
        <w:t>$ 1,219,815,713</w:t>
      </w:r>
      <w:r w:rsidRPr="00453590">
        <w:rPr>
          <w:rFonts w:ascii="Times New Roman" w:hAnsi="Times New Roman"/>
          <w:sz w:val="24"/>
          <w:szCs w:val="24"/>
        </w:rPr>
        <w:t xml:space="preserve"> </w:t>
      </w:r>
    </w:p>
    <w:p w14:paraId="2BFDEF31" w14:textId="1D311646" w:rsidR="00A67B90" w:rsidRDefault="00A67B90" w:rsidP="00A67B90">
      <w:pPr>
        <w:pStyle w:val="NoSpacing"/>
        <w:numPr>
          <w:ilvl w:val="0"/>
          <w:numId w:val="1"/>
        </w:numPr>
        <w:rPr>
          <w:rFonts w:ascii="Times New Roman" w:hAnsi="Times New Roman"/>
          <w:sz w:val="24"/>
          <w:szCs w:val="24"/>
        </w:rPr>
      </w:pPr>
      <w:r w:rsidRPr="00453590">
        <w:rPr>
          <w:rFonts w:ascii="Times New Roman" w:hAnsi="Times New Roman"/>
          <w:sz w:val="24"/>
          <w:szCs w:val="24"/>
        </w:rPr>
        <w:t>Forestburg ISD</w:t>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t xml:space="preserve">$   </w:t>
      </w:r>
      <w:r w:rsidR="002D6A6C">
        <w:rPr>
          <w:rFonts w:ascii="Times New Roman" w:hAnsi="Times New Roman"/>
          <w:sz w:val="24"/>
          <w:szCs w:val="24"/>
        </w:rPr>
        <w:t>876,055,530</w:t>
      </w:r>
      <w:r>
        <w:rPr>
          <w:rFonts w:ascii="Times New Roman" w:hAnsi="Times New Roman"/>
          <w:sz w:val="24"/>
          <w:szCs w:val="24"/>
        </w:rPr>
        <w:tab/>
        <w:t xml:space="preserve">$     </w:t>
      </w:r>
      <w:r w:rsidR="002D6A6C">
        <w:rPr>
          <w:rFonts w:ascii="Times New Roman" w:hAnsi="Times New Roman"/>
          <w:sz w:val="24"/>
          <w:szCs w:val="24"/>
        </w:rPr>
        <w:t>180,428,327</w:t>
      </w:r>
    </w:p>
    <w:p w14:paraId="47CDF4C1" w14:textId="4AE91416" w:rsidR="00A67B90" w:rsidRDefault="00A67B90" w:rsidP="00A67B90">
      <w:pPr>
        <w:pStyle w:val="NoSpacing"/>
        <w:numPr>
          <w:ilvl w:val="0"/>
          <w:numId w:val="1"/>
        </w:numPr>
        <w:rPr>
          <w:rFonts w:ascii="Times New Roman" w:hAnsi="Times New Roman"/>
          <w:sz w:val="24"/>
          <w:szCs w:val="24"/>
        </w:rPr>
      </w:pPr>
      <w:r w:rsidRPr="00453590">
        <w:rPr>
          <w:rFonts w:ascii="Times New Roman" w:hAnsi="Times New Roman"/>
          <w:sz w:val="24"/>
          <w:szCs w:val="24"/>
        </w:rPr>
        <w:t>Gold-burg ISD</w:t>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t xml:space="preserve">$ </w:t>
      </w:r>
      <w:r>
        <w:rPr>
          <w:rFonts w:ascii="Times New Roman" w:hAnsi="Times New Roman"/>
          <w:sz w:val="24"/>
          <w:szCs w:val="24"/>
        </w:rPr>
        <w:t xml:space="preserve">  </w:t>
      </w:r>
      <w:r w:rsidR="00F85D87">
        <w:rPr>
          <w:rFonts w:ascii="Times New Roman" w:hAnsi="Times New Roman"/>
          <w:sz w:val="24"/>
          <w:szCs w:val="24"/>
        </w:rPr>
        <w:t>566,230,870</w:t>
      </w:r>
      <w:r w:rsidRPr="00453590">
        <w:rPr>
          <w:rFonts w:ascii="Times New Roman" w:hAnsi="Times New Roman"/>
          <w:sz w:val="24"/>
          <w:szCs w:val="24"/>
        </w:rPr>
        <w:t xml:space="preserve"> </w:t>
      </w:r>
      <w:r>
        <w:rPr>
          <w:rFonts w:ascii="Times New Roman" w:hAnsi="Times New Roman"/>
          <w:sz w:val="24"/>
          <w:szCs w:val="24"/>
        </w:rPr>
        <w:tab/>
      </w:r>
      <w:r w:rsidRPr="00453590">
        <w:rPr>
          <w:rFonts w:ascii="Times New Roman" w:hAnsi="Times New Roman"/>
          <w:sz w:val="24"/>
          <w:szCs w:val="24"/>
        </w:rPr>
        <w:t xml:space="preserve">$    </w:t>
      </w:r>
      <w:r>
        <w:rPr>
          <w:rFonts w:ascii="Times New Roman" w:hAnsi="Times New Roman"/>
          <w:sz w:val="24"/>
          <w:szCs w:val="24"/>
        </w:rPr>
        <w:t xml:space="preserve"> 1</w:t>
      </w:r>
      <w:r w:rsidR="00F85D87">
        <w:rPr>
          <w:rFonts w:ascii="Times New Roman" w:hAnsi="Times New Roman"/>
          <w:sz w:val="24"/>
          <w:szCs w:val="24"/>
        </w:rPr>
        <w:t>82,272,850</w:t>
      </w:r>
    </w:p>
    <w:p w14:paraId="433374AB" w14:textId="2CE06609" w:rsidR="00A67B90" w:rsidRPr="00453590" w:rsidRDefault="00A67B90" w:rsidP="00A67B90">
      <w:pPr>
        <w:pStyle w:val="NoSpacing"/>
        <w:numPr>
          <w:ilvl w:val="0"/>
          <w:numId w:val="1"/>
        </w:numPr>
        <w:rPr>
          <w:rFonts w:ascii="Times New Roman" w:hAnsi="Times New Roman"/>
          <w:sz w:val="24"/>
          <w:szCs w:val="24"/>
        </w:rPr>
      </w:pPr>
      <w:r>
        <w:rPr>
          <w:rFonts w:ascii="Times New Roman" w:hAnsi="Times New Roman"/>
          <w:sz w:val="24"/>
          <w:szCs w:val="24"/>
        </w:rPr>
        <w:t>Montague ISD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F85D87">
        <w:rPr>
          <w:rFonts w:ascii="Times New Roman" w:hAnsi="Times New Roman"/>
          <w:sz w:val="24"/>
          <w:szCs w:val="24"/>
        </w:rPr>
        <w:t>228,039,254</w:t>
      </w:r>
      <w:r w:rsidRPr="00453590">
        <w:rPr>
          <w:rFonts w:ascii="Times New Roman" w:hAnsi="Times New Roman"/>
          <w:sz w:val="24"/>
          <w:szCs w:val="24"/>
        </w:rPr>
        <w:tab/>
        <w:t xml:space="preserve">$   </w:t>
      </w:r>
      <w:r>
        <w:rPr>
          <w:rFonts w:ascii="Times New Roman" w:hAnsi="Times New Roman"/>
          <w:sz w:val="24"/>
          <w:szCs w:val="24"/>
        </w:rPr>
        <w:t xml:space="preserve">    </w:t>
      </w:r>
      <w:r w:rsidR="00F85D87">
        <w:rPr>
          <w:rFonts w:ascii="Times New Roman" w:hAnsi="Times New Roman"/>
          <w:sz w:val="24"/>
          <w:szCs w:val="24"/>
        </w:rPr>
        <w:t>61,504,367</w:t>
      </w:r>
    </w:p>
    <w:p w14:paraId="280F94D2" w14:textId="77777777" w:rsidR="00A67B90" w:rsidRPr="00453590" w:rsidRDefault="00A67B90" w:rsidP="00A67B90">
      <w:pPr>
        <w:pStyle w:val="NoSpacing"/>
        <w:numPr>
          <w:ilvl w:val="0"/>
          <w:numId w:val="1"/>
        </w:numPr>
        <w:rPr>
          <w:rFonts w:ascii="Times New Roman" w:hAnsi="Times New Roman"/>
          <w:sz w:val="24"/>
          <w:szCs w:val="24"/>
        </w:rPr>
      </w:pPr>
      <w:r>
        <w:rPr>
          <w:rFonts w:ascii="Times New Roman" w:hAnsi="Times New Roman"/>
          <w:sz w:val="24"/>
          <w:szCs w:val="24"/>
        </w:rPr>
        <w:t>Nocona ISD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903,754,961</w:t>
      </w:r>
      <w:r>
        <w:rPr>
          <w:rFonts w:ascii="Times New Roman" w:hAnsi="Times New Roman"/>
          <w:sz w:val="24"/>
          <w:szCs w:val="24"/>
        </w:rPr>
        <w:tab/>
      </w:r>
      <w:r w:rsidRPr="00453590">
        <w:rPr>
          <w:rFonts w:ascii="Times New Roman" w:hAnsi="Times New Roman"/>
          <w:sz w:val="24"/>
          <w:szCs w:val="24"/>
        </w:rPr>
        <w:t xml:space="preserve">$  </w:t>
      </w:r>
      <w:r>
        <w:rPr>
          <w:rFonts w:ascii="Times New Roman" w:hAnsi="Times New Roman"/>
          <w:sz w:val="24"/>
          <w:szCs w:val="24"/>
        </w:rPr>
        <w:t xml:space="preserve"> </w:t>
      </w:r>
      <w:r w:rsidRPr="00453590">
        <w:rPr>
          <w:rFonts w:ascii="Times New Roman" w:hAnsi="Times New Roman"/>
          <w:sz w:val="24"/>
          <w:szCs w:val="24"/>
        </w:rPr>
        <w:t xml:space="preserve"> </w:t>
      </w:r>
      <w:r>
        <w:rPr>
          <w:rFonts w:ascii="Times New Roman" w:hAnsi="Times New Roman"/>
          <w:sz w:val="24"/>
          <w:szCs w:val="24"/>
        </w:rPr>
        <w:t xml:space="preserve"> 387,851,424</w:t>
      </w:r>
    </w:p>
    <w:p w14:paraId="78CD07D0" w14:textId="77777777" w:rsidR="00A67B90" w:rsidRPr="00453590" w:rsidRDefault="00A67B90" w:rsidP="00A67B90">
      <w:pPr>
        <w:pStyle w:val="NoSpacing"/>
        <w:numPr>
          <w:ilvl w:val="0"/>
          <w:numId w:val="1"/>
        </w:numPr>
        <w:rPr>
          <w:rFonts w:ascii="Times New Roman" w:hAnsi="Times New Roman"/>
          <w:sz w:val="24"/>
          <w:szCs w:val="24"/>
        </w:rPr>
      </w:pPr>
      <w:r w:rsidRPr="00453590">
        <w:rPr>
          <w:rFonts w:ascii="Times New Roman" w:hAnsi="Times New Roman"/>
          <w:sz w:val="24"/>
          <w:szCs w:val="24"/>
        </w:rPr>
        <w:t>Prairie Valley</w:t>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t xml:space="preserve">$   </w:t>
      </w:r>
      <w:r>
        <w:rPr>
          <w:rFonts w:ascii="Times New Roman" w:hAnsi="Times New Roman"/>
          <w:sz w:val="24"/>
          <w:szCs w:val="24"/>
        </w:rPr>
        <w:t>394,933,656</w:t>
      </w:r>
      <w:r w:rsidRPr="00453590">
        <w:rPr>
          <w:rFonts w:ascii="Times New Roman" w:hAnsi="Times New Roman"/>
          <w:sz w:val="24"/>
          <w:szCs w:val="24"/>
        </w:rPr>
        <w:tab/>
        <w:t xml:space="preserve">$   </w:t>
      </w:r>
      <w:r>
        <w:rPr>
          <w:rFonts w:ascii="Times New Roman" w:hAnsi="Times New Roman"/>
          <w:sz w:val="24"/>
          <w:szCs w:val="24"/>
        </w:rPr>
        <w:t xml:space="preserve">  126,688,637</w:t>
      </w:r>
    </w:p>
    <w:p w14:paraId="6CB1BA5C" w14:textId="77777777" w:rsidR="00A67B90" w:rsidRPr="00453590" w:rsidRDefault="00A67B90" w:rsidP="00A67B90">
      <w:pPr>
        <w:pStyle w:val="NoSpacing"/>
        <w:numPr>
          <w:ilvl w:val="0"/>
          <w:numId w:val="1"/>
        </w:numPr>
        <w:rPr>
          <w:rFonts w:ascii="Times New Roman" w:hAnsi="Times New Roman"/>
          <w:sz w:val="24"/>
          <w:szCs w:val="24"/>
        </w:rPr>
      </w:pPr>
      <w:r>
        <w:rPr>
          <w:rFonts w:ascii="Times New Roman" w:hAnsi="Times New Roman"/>
          <w:sz w:val="24"/>
          <w:szCs w:val="24"/>
        </w:rPr>
        <w:t>Saint Jo ISD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531,450,850           $     190,959,716</w:t>
      </w:r>
    </w:p>
    <w:p w14:paraId="794748BD" w14:textId="77777777" w:rsidR="00A67B90" w:rsidRPr="00453590" w:rsidRDefault="00A67B90" w:rsidP="00A67B90">
      <w:pPr>
        <w:pStyle w:val="NoSpacing"/>
        <w:numPr>
          <w:ilvl w:val="0"/>
          <w:numId w:val="1"/>
        </w:numPr>
        <w:rPr>
          <w:rFonts w:ascii="Times New Roman" w:hAnsi="Times New Roman"/>
          <w:sz w:val="24"/>
          <w:szCs w:val="24"/>
        </w:rPr>
      </w:pPr>
      <w:r w:rsidRPr="00453590">
        <w:rPr>
          <w:rFonts w:ascii="Times New Roman" w:hAnsi="Times New Roman"/>
          <w:sz w:val="24"/>
          <w:szCs w:val="24"/>
        </w:rPr>
        <w:t xml:space="preserve">Slidell ISD </w:t>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r>
      <w:r>
        <w:rPr>
          <w:rFonts w:ascii="Times New Roman" w:hAnsi="Times New Roman"/>
          <w:sz w:val="24"/>
          <w:szCs w:val="24"/>
        </w:rPr>
        <w:t>$       6,637,600</w:t>
      </w:r>
      <w:r>
        <w:rPr>
          <w:rFonts w:ascii="Times New Roman" w:hAnsi="Times New Roman"/>
          <w:sz w:val="24"/>
          <w:szCs w:val="24"/>
        </w:rPr>
        <w:tab/>
        <w:t xml:space="preserve">$            684,360 </w:t>
      </w:r>
    </w:p>
    <w:p w14:paraId="3EBE7B76" w14:textId="3CDBC29B" w:rsidR="00A67B90" w:rsidRPr="00453590" w:rsidRDefault="00A67B90" w:rsidP="00A67B90">
      <w:pPr>
        <w:pStyle w:val="NoSpacing"/>
        <w:numPr>
          <w:ilvl w:val="0"/>
          <w:numId w:val="1"/>
        </w:numPr>
        <w:rPr>
          <w:rFonts w:ascii="Times New Roman" w:hAnsi="Times New Roman"/>
          <w:sz w:val="24"/>
          <w:szCs w:val="24"/>
        </w:rPr>
      </w:pPr>
      <w:r w:rsidRPr="00453590">
        <w:rPr>
          <w:rFonts w:ascii="Times New Roman" w:hAnsi="Times New Roman"/>
          <w:sz w:val="24"/>
          <w:szCs w:val="24"/>
        </w:rPr>
        <w:t xml:space="preserve">City of Bowie </w:t>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t xml:space="preserve">$   </w:t>
      </w:r>
      <w:r w:rsidR="00E07F0D">
        <w:rPr>
          <w:rFonts w:ascii="Times New Roman" w:hAnsi="Times New Roman"/>
          <w:sz w:val="24"/>
          <w:szCs w:val="24"/>
        </w:rPr>
        <w:t>587,356,809</w:t>
      </w:r>
      <w:r>
        <w:rPr>
          <w:rFonts w:ascii="Times New Roman" w:hAnsi="Times New Roman"/>
          <w:sz w:val="24"/>
          <w:szCs w:val="24"/>
        </w:rPr>
        <w:tab/>
      </w:r>
      <w:r w:rsidRPr="00453590">
        <w:rPr>
          <w:rFonts w:ascii="Times New Roman" w:hAnsi="Times New Roman"/>
          <w:sz w:val="24"/>
          <w:szCs w:val="24"/>
        </w:rPr>
        <w:t xml:space="preserve">$  </w:t>
      </w:r>
      <w:r>
        <w:rPr>
          <w:rFonts w:ascii="Times New Roman" w:hAnsi="Times New Roman"/>
          <w:sz w:val="24"/>
          <w:szCs w:val="24"/>
        </w:rPr>
        <w:t xml:space="preserve">   4</w:t>
      </w:r>
      <w:r w:rsidR="00E07F0D">
        <w:rPr>
          <w:rFonts w:ascii="Times New Roman" w:hAnsi="Times New Roman"/>
          <w:sz w:val="24"/>
          <w:szCs w:val="24"/>
        </w:rPr>
        <w:t>99,690,259</w:t>
      </w:r>
    </w:p>
    <w:p w14:paraId="2C934100" w14:textId="018B2B9C" w:rsidR="00A67B90" w:rsidRPr="00453590" w:rsidRDefault="00A67B90" w:rsidP="00A67B90">
      <w:pPr>
        <w:pStyle w:val="NoSpacing"/>
        <w:numPr>
          <w:ilvl w:val="0"/>
          <w:numId w:val="1"/>
        </w:numPr>
        <w:rPr>
          <w:rFonts w:ascii="Times New Roman" w:hAnsi="Times New Roman"/>
          <w:sz w:val="24"/>
          <w:szCs w:val="24"/>
        </w:rPr>
      </w:pPr>
      <w:r w:rsidRPr="00453590">
        <w:rPr>
          <w:rFonts w:ascii="Times New Roman" w:hAnsi="Times New Roman"/>
          <w:sz w:val="24"/>
          <w:szCs w:val="24"/>
        </w:rPr>
        <w:t>City of Nocona</w:t>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t xml:space="preserve">$   </w:t>
      </w:r>
      <w:r>
        <w:rPr>
          <w:rFonts w:ascii="Times New Roman" w:hAnsi="Times New Roman"/>
          <w:sz w:val="24"/>
          <w:szCs w:val="24"/>
        </w:rPr>
        <w:t>2</w:t>
      </w:r>
      <w:r w:rsidR="00F85D87">
        <w:rPr>
          <w:rFonts w:ascii="Times New Roman" w:hAnsi="Times New Roman"/>
          <w:sz w:val="24"/>
          <w:szCs w:val="24"/>
        </w:rPr>
        <w:t>95,175,643</w:t>
      </w:r>
      <w:r>
        <w:rPr>
          <w:rFonts w:ascii="Times New Roman" w:hAnsi="Times New Roman"/>
          <w:sz w:val="24"/>
          <w:szCs w:val="24"/>
        </w:rPr>
        <w:tab/>
        <w:t xml:space="preserve">$     </w:t>
      </w:r>
      <w:r w:rsidR="00F85D87">
        <w:rPr>
          <w:rFonts w:ascii="Times New Roman" w:hAnsi="Times New Roman"/>
          <w:sz w:val="24"/>
          <w:szCs w:val="24"/>
        </w:rPr>
        <w:t>217,521,600</w:t>
      </w:r>
    </w:p>
    <w:p w14:paraId="28315C64" w14:textId="77777777" w:rsidR="00A67B90" w:rsidRPr="00453590" w:rsidRDefault="00A67B90" w:rsidP="00A67B90">
      <w:pPr>
        <w:pStyle w:val="NoSpacing"/>
        <w:numPr>
          <w:ilvl w:val="0"/>
          <w:numId w:val="1"/>
        </w:numPr>
        <w:rPr>
          <w:rFonts w:ascii="Times New Roman" w:hAnsi="Times New Roman"/>
          <w:sz w:val="24"/>
          <w:szCs w:val="24"/>
        </w:rPr>
      </w:pPr>
      <w:r w:rsidRPr="00453590">
        <w:rPr>
          <w:rFonts w:ascii="Times New Roman" w:hAnsi="Times New Roman"/>
          <w:sz w:val="24"/>
          <w:szCs w:val="24"/>
        </w:rPr>
        <w:t>City of Saint Jo</w:t>
      </w:r>
      <w:r w:rsidRPr="00453590">
        <w:rPr>
          <w:rFonts w:ascii="Times New Roman" w:hAnsi="Times New Roman"/>
          <w:sz w:val="24"/>
          <w:szCs w:val="24"/>
        </w:rPr>
        <w:tab/>
      </w:r>
      <w:r w:rsidRPr="00453590">
        <w:rPr>
          <w:rFonts w:ascii="Times New Roman" w:hAnsi="Times New Roman"/>
          <w:sz w:val="24"/>
          <w:szCs w:val="24"/>
        </w:rPr>
        <w:tab/>
      </w:r>
      <w:r w:rsidRPr="00453590">
        <w:rPr>
          <w:rFonts w:ascii="Times New Roman" w:hAnsi="Times New Roman"/>
          <w:sz w:val="24"/>
          <w:szCs w:val="24"/>
        </w:rPr>
        <w:tab/>
        <w:t>$</w:t>
      </w:r>
      <w:r>
        <w:rPr>
          <w:rFonts w:ascii="Times New Roman" w:hAnsi="Times New Roman"/>
          <w:sz w:val="24"/>
          <w:szCs w:val="24"/>
        </w:rPr>
        <w:t xml:space="preserve">     64,982,520</w:t>
      </w:r>
      <w:r w:rsidRPr="00453590">
        <w:rPr>
          <w:rFonts w:ascii="Times New Roman" w:hAnsi="Times New Roman"/>
          <w:sz w:val="24"/>
          <w:szCs w:val="24"/>
        </w:rPr>
        <w:t xml:space="preserve">    </w:t>
      </w:r>
      <w:r>
        <w:rPr>
          <w:rFonts w:ascii="Times New Roman" w:hAnsi="Times New Roman"/>
          <w:sz w:val="24"/>
          <w:szCs w:val="24"/>
        </w:rPr>
        <w:t xml:space="preserve">       </w:t>
      </w:r>
      <w:r w:rsidRPr="00453590">
        <w:rPr>
          <w:rFonts w:ascii="Times New Roman" w:hAnsi="Times New Roman"/>
          <w:sz w:val="24"/>
          <w:szCs w:val="24"/>
        </w:rPr>
        <w:t xml:space="preserve">$     </w:t>
      </w:r>
      <w:r>
        <w:rPr>
          <w:rFonts w:ascii="Times New Roman" w:hAnsi="Times New Roman"/>
          <w:sz w:val="24"/>
          <w:szCs w:val="24"/>
        </w:rPr>
        <w:t xml:space="preserve">  52,643,625</w:t>
      </w:r>
    </w:p>
    <w:p w14:paraId="08B2356F" w14:textId="7436C3B0" w:rsidR="00A67B90" w:rsidRPr="00453590" w:rsidRDefault="00A67B90" w:rsidP="00A67B90">
      <w:pPr>
        <w:pStyle w:val="NoSpacing"/>
        <w:numPr>
          <w:ilvl w:val="0"/>
          <w:numId w:val="1"/>
        </w:numPr>
        <w:rPr>
          <w:rFonts w:ascii="Times New Roman" w:hAnsi="Times New Roman"/>
          <w:sz w:val="24"/>
          <w:szCs w:val="24"/>
        </w:rPr>
      </w:pPr>
      <w:r w:rsidRPr="00453590">
        <w:rPr>
          <w:rFonts w:ascii="Times New Roman" w:hAnsi="Times New Roman"/>
          <w:sz w:val="24"/>
          <w:szCs w:val="24"/>
        </w:rPr>
        <w:t xml:space="preserve">Clear Creek Watershed </w:t>
      </w:r>
      <w:r w:rsidRPr="00453590">
        <w:rPr>
          <w:rFonts w:ascii="Times New Roman" w:hAnsi="Times New Roman"/>
          <w:sz w:val="24"/>
          <w:szCs w:val="24"/>
        </w:rPr>
        <w:tab/>
      </w:r>
      <w:r w:rsidRPr="00453590">
        <w:rPr>
          <w:rFonts w:ascii="Times New Roman" w:hAnsi="Times New Roman"/>
          <w:sz w:val="24"/>
          <w:szCs w:val="24"/>
        </w:rPr>
        <w:tab/>
        <w:t xml:space="preserve">$   </w:t>
      </w:r>
      <w:r>
        <w:rPr>
          <w:rFonts w:ascii="Times New Roman" w:hAnsi="Times New Roman"/>
          <w:sz w:val="24"/>
          <w:szCs w:val="24"/>
        </w:rPr>
        <w:t xml:space="preserve"> 4</w:t>
      </w:r>
      <w:r w:rsidR="002D6A6C">
        <w:rPr>
          <w:rFonts w:ascii="Times New Roman" w:hAnsi="Times New Roman"/>
          <w:sz w:val="24"/>
          <w:szCs w:val="24"/>
        </w:rPr>
        <w:t>80,889,460</w:t>
      </w:r>
      <w:r w:rsidRPr="00453590">
        <w:rPr>
          <w:rFonts w:ascii="Times New Roman" w:hAnsi="Times New Roman"/>
          <w:sz w:val="24"/>
          <w:szCs w:val="24"/>
        </w:rPr>
        <w:tab/>
        <w:t xml:space="preserve">$   </w:t>
      </w:r>
      <w:r>
        <w:rPr>
          <w:rFonts w:ascii="Times New Roman" w:hAnsi="Times New Roman"/>
          <w:sz w:val="24"/>
          <w:szCs w:val="24"/>
        </w:rPr>
        <w:t xml:space="preserve">  1</w:t>
      </w:r>
      <w:r w:rsidR="002D6A6C">
        <w:rPr>
          <w:rFonts w:ascii="Times New Roman" w:hAnsi="Times New Roman"/>
          <w:sz w:val="24"/>
          <w:szCs w:val="24"/>
        </w:rPr>
        <w:t>32,615,071</w:t>
      </w:r>
    </w:p>
    <w:p w14:paraId="37B89347" w14:textId="5564931E" w:rsidR="00A67B90" w:rsidRPr="00453590" w:rsidRDefault="00A67B90" w:rsidP="00A67B90">
      <w:pPr>
        <w:pStyle w:val="NoSpacing"/>
        <w:numPr>
          <w:ilvl w:val="0"/>
          <w:numId w:val="1"/>
        </w:numPr>
        <w:rPr>
          <w:rFonts w:ascii="Times New Roman" w:hAnsi="Times New Roman"/>
          <w:sz w:val="24"/>
          <w:szCs w:val="24"/>
        </w:rPr>
      </w:pPr>
      <w:r w:rsidRPr="00453590">
        <w:rPr>
          <w:rFonts w:ascii="Times New Roman" w:hAnsi="Times New Roman"/>
          <w:sz w:val="24"/>
          <w:szCs w:val="24"/>
        </w:rPr>
        <w:t>Farmers Creek Watershed</w:t>
      </w:r>
      <w:r w:rsidRPr="00453590">
        <w:rPr>
          <w:rFonts w:ascii="Times New Roman" w:hAnsi="Times New Roman"/>
          <w:sz w:val="24"/>
          <w:szCs w:val="24"/>
        </w:rPr>
        <w:tab/>
      </w:r>
      <w:r w:rsidRPr="00453590">
        <w:rPr>
          <w:rFonts w:ascii="Times New Roman" w:hAnsi="Times New Roman"/>
          <w:sz w:val="24"/>
          <w:szCs w:val="24"/>
        </w:rPr>
        <w:tab/>
        <w:t>$</w:t>
      </w:r>
      <w:r>
        <w:rPr>
          <w:rFonts w:ascii="Times New Roman" w:hAnsi="Times New Roman"/>
          <w:sz w:val="24"/>
          <w:szCs w:val="24"/>
        </w:rPr>
        <w:t xml:space="preserve">    </w:t>
      </w:r>
      <w:r w:rsidR="00F85D87">
        <w:rPr>
          <w:rFonts w:ascii="Times New Roman" w:hAnsi="Times New Roman"/>
          <w:sz w:val="24"/>
          <w:szCs w:val="24"/>
        </w:rPr>
        <w:t>821,471,966</w:t>
      </w:r>
      <w:r w:rsidRPr="00453590">
        <w:rPr>
          <w:rFonts w:ascii="Times New Roman" w:hAnsi="Times New Roman"/>
          <w:sz w:val="24"/>
          <w:szCs w:val="24"/>
        </w:rPr>
        <w:tab/>
        <w:t>$</w:t>
      </w:r>
      <w:r>
        <w:rPr>
          <w:rFonts w:ascii="Times New Roman" w:hAnsi="Times New Roman"/>
          <w:sz w:val="24"/>
          <w:szCs w:val="24"/>
        </w:rPr>
        <w:t xml:space="preserve">     </w:t>
      </w:r>
      <w:r w:rsidR="00F85D87">
        <w:rPr>
          <w:rFonts w:ascii="Times New Roman" w:hAnsi="Times New Roman"/>
          <w:sz w:val="24"/>
          <w:szCs w:val="24"/>
        </w:rPr>
        <w:t>305,692,255</w:t>
      </w:r>
    </w:p>
    <w:p w14:paraId="3EF6EE39" w14:textId="6B45D2DF" w:rsidR="00A67B90" w:rsidRPr="00453590" w:rsidRDefault="00A67B90" w:rsidP="00A67B90">
      <w:pPr>
        <w:pStyle w:val="NoSpacing"/>
        <w:numPr>
          <w:ilvl w:val="0"/>
          <w:numId w:val="1"/>
        </w:numPr>
        <w:rPr>
          <w:rFonts w:ascii="Times New Roman" w:hAnsi="Times New Roman"/>
          <w:sz w:val="24"/>
          <w:szCs w:val="24"/>
        </w:rPr>
      </w:pPr>
      <w:r>
        <w:rPr>
          <w:rFonts w:ascii="Times New Roman" w:hAnsi="Times New Roman"/>
          <w:sz w:val="24"/>
          <w:szCs w:val="24"/>
        </w:rPr>
        <w:t>Nocona Hospital District</w:t>
      </w:r>
      <w:r>
        <w:rPr>
          <w:rFonts w:ascii="Times New Roman" w:hAnsi="Times New Roman"/>
          <w:sz w:val="24"/>
          <w:szCs w:val="24"/>
        </w:rPr>
        <w:tab/>
      </w:r>
      <w:r>
        <w:rPr>
          <w:rFonts w:ascii="Times New Roman" w:hAnsi="Times New Roman"/>
          <w:sz w:val="24"/>
          <w:szCs w:val="24"/>
        </w:rPr>
        <w:tab/>
      </w:r>
      <w:r w:rsidR="00026262">
        <w:rPr>
          <w:rFonts w:ascii="Times New Roman" w:hAnsi="Times New Roman"/>
          <w:sz w:val="24"/>
          <w:szCs w:val="24"/>
        </w:rPr>
        <w:t>$ 2,022,290,230</w:t>
      </w:r>
      <w:r w:rsidRPr="00453590">
        <w:rPr>
          <w:rFonts w:ascii="Times New Roman" w:hAnsi="Times New Roman"/>
          <w:sz w:val="24"/>
          <w:szCs w:val="24"/>
        </w:rPr>
        <w:tab/>
        <w:t xml:space="preserve">$   </w:t>
      </w:r>
      <w:r>
        <w:rPr>
          <w:rFonts w:ascii="Times New Roman" w:hAnsi="Times New Roman"/>
          <w:sz w:val="24"/>
          <w:szCs w:val="24"/>
        </w:rPr>
        <w:t xml:space="preserve">  </w:t>
      </w:r>
      <w:r w:rsidR="00026262">
        <w:rPr>
          <w:rFonts w:ascii="Times New Roman" w:hAnsi="Times New Roman"/>
          <w:sz w:val="24"/>
          <w:szCs w:val="24"/>
        </w:rPr>
        <w:t>709,965,344</w:t>
      </w:r>
    </w:p>
    <w:p w14:paraId="221DDBF9" w14:textId="77777777" w:rsidR="00A67B90" w:rsidRDefault="00A67B90" w:rsidP="00A67B90">
      <w:pPr>
        <w:pStyle w:val="NoSpacing"/>
        <w:rPr>
          <w:rFonts w:ascii="Times New Roman" w:hAnsi="Times New Roman"/>
          <w:sz w:val="24"/>
          <w:szCs w:val="24"/>
        </w:rPr>
      </w:pPr>
    </w:p>
    <w:p w14:paraId="6E8C9C12" w14:textId="77777777" w:rsidR="00A67B90" w:rsidRDefault="00A67B90" w:rsidP="00A67B90">
      <w:pPr>
        <w:pStyle w:val="NoSpacing"/>
        <w:rPr>
          <w:rFonts w:ascii="Times New Roman" w:hAnsi="Times New Roman"/>
          <w:sz w:val="24"/>
          <w:szCs w:val="24"/>
        </w:rPr>
      </w:pPr>
      <w:r>
        <w:rPr>
          <w:rFonts w:ascii="Times New Roman" w:hAnsi="Times New Roman"/>
          <w:sz w:val="24"/>
          <w:szCs w:val="24"/>
        </w:rPr>
        <w:t xml:space="preserve">The Property Tax Code defines special appraisal provisions for the valuation of residential homestead property (Sec. 23.23), productivity (Sec. 23.41), real property inventory (Sec. 23.12), dealer inventory (Sec. 23.121, 23.124, 23.1241, and 23.127), nominal (Sec. 23.18) or restricted use properties (Sec. 23.83) and allocation of interstate property (Sec. 23.03)  </w:t>
      </w:r>
    </w:p>
    <w:p w14:paraId="234C5CB8" w14:textId="77777777" w:rsidR="00A67B90" w:rsidRDefault="00A67B90" w:rsidP="00A67B90">
      <w:pPr>
        <w:pStyle w:val="NoSpacing"/>
        <w:rPr>
          <w:rFonts w:ascii="Times New Roman" w:hAnsi="Times New Roman"/>
          <w:sz w:val="24"/>
          <w:szCs w:val="24"/>
        </w:rPr>
      </w:pPr>
    </w:p>
    <w:p w14:paraId="438DD430" w14:textId="192F3459" w:rsidR="00A67B90" w:rsidRDefault="00A67B90" w:rsidP="00A67B90">
      <w:pPr>
        <w:pStyle w:val="NoSpacing"/>
        <w:rPr>
          <w:rFonts w:ascii="Times New Roman" w:hAnsi="Times New Roman"/>
          <w:sz w:val="24"/>
          <w:szCs w:val="24"/>
        </w:rPr>
      </w:pPr>
      <w:r>
        <w:rPr>
          <w:rFonts w:ascii="Times New Roman" w:hAnsi="Times New Roman"/>
          <w:sz w:val="24"/>
          <w:szCs w:val="24"/>
        </w:rPr>
        <w:t>For 202</w:t>
      </w:r>
      <w:r w:rsidR="00026262">
        <w:rPr>
          <w:rFonts w:ascii="Times New Roman" w:hAnsi="Times New Roman"/>
          <w:sz w:val="24"/>
          <w:szCs w:val="24"/>
        </w:rPr>
        <w:t>5</w:t>
      </w:r>
      <w:r>
        <w:rPr>
          <w:rFonts w:ascii="Times New Roman" w:hAnsi="Times New Roman"/>
          <w:sz w:val="24"/>
          <w:szCs w:val="24"/>
        </w:rPr>
        <w:t xml:space="preserve">, the district maintained </w:t>
      </w:r>
      <w:r w:rsidRPr="00E11AF5">
        <w:rPr>
          <w:rFonts w:ascii="Times New Roman" w:hAnsi="Times New Roman"/>
          <w:sz w:val="24"/>
          <w:szCs w:val="24"/>
        </w:rPr>
        <w:t>approximately</w:t>
      </w:r>
      <w:r>
        <w:rPr>
          <w:rFonts w:ascii="Times New Roman" w:hAnsi="Times New Roman"/>
          <w:sz w:val="24"/>
          <w:szCs w:val="24"/>
        </w:rPr>
        <w:t xml:space="preserve"> </w:t>
      </w:r>
      <w:r w:rsidR="00026262">
        <w:rPr>
          <w:rFonts w:ascii="Times New Roman" w:hAnsi="Times New Roman"/>
          <w:sz w:val="24"/>
          <w:szCs w:val="24"/>
        </w:rPr>
        <w:t>25,739</w:t>
      </w:r>
      <w:r>
        <w:rPr>
          <w:rFonts w:ascii="Times New Roman" w:hAnsi="Times New Roman"/>
          <w:sz w:val="24"/>
          <w:szCs w:val="24"/>
        </w:rPr>
        <w:t xml:space="preserve"> real and personal property accounts </w:t>
      </w:r>
      <w:r w:rsidRPr="00E11AF5">
        <w:rPr>
          <w:rFonts w:ascii="Times New Roman" w:hAnsi="Times New Roman"/>
          <w:sz w:val="24"/>
          <w:szCs w:val="24"/>
        </w:rPr>
        <w:t xml:space="preserve">and </w:t>
      </w:r>
      <w:r w:rsidR="00026262">
        <w:rPr>
          <w:rFonts w:ascii="Times New Roman" w:hAnsi="Times New Roman"/>
          <w:sz w:val="24"/>
          <w:szCs w:val="24"/>
        </w:rPr>
        <w:t xml:space="preserve">38,484 </w:t>
      </w:r>
      <w:r>
        <w:rPr>
          <w:rFonts w:ascii="Times New Roman" w:hAnsi="Times New Roman"/>
          <w:sz w:val="24"/>
          <w:szCs w:val="24"/>
        </w:rPr>
        <w:t>industrial and mineral accounts.  The following are the types of property that were appraised by the appraisal district or mineral/industrial professional service firm Pritchard &amp; Abbott.</w:t>
      </w:r>
    </w:p>
    <w:p w14:paraId="33120B02" w14:textId="77777777" w:rsidR="00A67B90" w:rsidRDefault="00A67B90" w:rsidP="00A67B90">
      <w:pPr>
        <w:pStyle w:val="NoSpacing"/>
        <w:numPr>
          <w:ilvl w:val="0"/>
          <w:numId w:val="2"/>
        </w:numPr>
        <w:rPr>
          <w:rFonts w:ascii="Times New Roman" w:hAnsi="Times New Roman"/>
          <w:sz w:val="24"/>
          <w:szCs w:val="24"/>
        </w:rPr>
      </w:pPr>
      <w:r>
        <w:rPr>
          <w:rFonts w:ascii="Times New Roman" w:hAnsi="Times New Roman"/>
          <w:sz w:val="24"/>
          <w:szCs w:val="24"/>
        </w:rPr>
        <w:t>Residential Property</w:t>
      </w:r>
    </w:p>
    <w:p w14:paraId="563D0FD6" w14:textId="77777777" w:rsidR="00A67B90" w:rsidRDefault="00A67B90" w:rsidP="00A67B90">
      <w:pPr>
        <w:pStyle w:val="NoSpacing"/>
        <w:numPr>
          <w:ilvl w:val="0"/>
          <w:numId w:val="2"/>
        </w:numPr>
        <w:rPr>
          <w:rFonts w:ascii="Times New Roman" w:hAnsi="Times New Roman"/>
          <w:sz w:val="24"/>
          <w:szCs w:val="24"/>
        </w:rPr>
      </w:pPr>
      <w:r>
        <w:rPr>
          <w:rFonts w:ascii="Times New Roman" w:hAnsi="Times New Roman"/>
          <w:sz w:val="24"/>
          <w:szCs w:val="24"/>
        </w:rPr>
        <w:t>Commercial Property</w:t>
      </w:r>
    </w:p>
    <w:p w14:paraId="7F9562D9" w14:textId="77777777" w:rsidR="00A67B90" w:rsidRDefault="00A67B90" w:rsidP="00A67B90">
      <w:pPr>
        <w:pStyle w:val="NoSpacing"/>
        <w:numPr>
          <w:ilvl w:val="0"/>
          <w:numId w:val="2"/>
        </w:numPr>
        <w:rPr>
          <w:rFonts w:ascii="Times New Roman" w:hAnsi="Times New Roman"/>
          <w:sz w:val="24"/>
          <w:szCs w:val="24"/>
        </w:rPr>
      </w:pPr>
      <w:r>
        <w:rPr>
          <w:rFonts w:ascii="Times New Roman" w:hAnsi="Times New Roman"/>
          <w:sz w:val="24"/>
          <w:szCs w:val="24"/>
        </w:rPr>
        <w:t>Business Personal Property</w:t>
      </w:r>
    </w:p>
    <w:p w14:paraId="20FE246E" w14:textId="77777777" w:rsidR="00A67B90" w:rsidRDefault="00A67B90" w:rsidP="00A67B90">
      <w:pPr>
        <w:pStyle w:val="NoSpacing"/>
        <w:numPr>
          <w:ilvl w:val="0"/>
          <w:numId w:val="2"/>
        </w:numPr>
        <w:rPr>
          <w:rFonts w:ascii="Times New Roman" w:hAnsi="Times New Roman"/>
          <w:sz w:val="24"/>
          <w:szCs w:val="24"/>
        </w:rPr>
      </w:pPr>
      <w:r>
        <w:rPr>
          <w:rFonts w:ascii="Times New Roman" w:hAnsi="Times New Roman"/>
          <w:sz w:val="24"/>
          <w:szCs w:val="24"/>
        </w:rPr>
        <w:t>Minerals</w:t>
      </w:r>
    </w:p>
    <w:p w14:paraId="50C864B4" w14:textId="77777777" w:rsidR="00A67B90" w:rsidRDefault="00A67B90" w:rsidP="00A67B90">
      <w:pPr>
        <w:pStyle w:val="NoSpacing"/>
        <w:numPr>
          <w:ilvl w:val="0"/>
          <w:numId w:val="2"/>
        </w:numPr>
        <w:rPr>
          <w:rFonts w:ascii="Times New Roman" w:hAnsi="Times New Roman"/>
          <w:sz w:val="24"/>
          <w:szCs w:val="24"/>
        </w:rPr>
      </w:pPr>
      <w:r>
        <w:rPr>
          <w:rFonts w:ascii="Times New Roman" w:hAnsi="Times New Roman"/>
          <w:sz w:val="24"/>
          <w:szCs w:val="24"/>
        </w:rPr>
        <w:t>Utilities and Pipelines</w:t>
      </w:r>
      <w:r>
        <w:rPr>
          <w:rFonts w:ascii="Times New Roman" w:hAnsi="Times New Roman"/>
          <w:sz w:val="24"/>
          <w:szCs w:val="24"/>
        </w:rPr>
        <w:br/>
      </w:r>
    </w:p>
    <w:p w14:paraId="32CC37F1" w14:textId="77777777" w:rsidR="00A67B90" w:rsidRDefault="00A67B90" w:rsidP="00A67B90">
      <w:pPr>
        <w:pStyle w:val="NoSpacing"/>
        <w:rPr>
          <w:rFonts w:ascii="Times New Roman" w:hAnsi="Times New Roman"/>
          <w:sz w:val="24"/>
          <w:szCs w:val="24"/>
        </w:rPr>
      </w:pPr>
    </w:p>
    <w:p w14:paraId="5F8AD744" w14:textId="77777777" w:rsidR="00A67B90" w:rsidRDefault="00A67B90" w:rsidP="00A67B90">
      <w:pPr>
        <w:pStyle w:val="NoSpacing"/>
        <w:rPr>
          <w:rFonts w:ascii="Times New Roman" w:hAnsi="Times New Roman"/>
          <w:sz w:val="24"/>
          <w:szCs w:val="24"/>
        </w:rPr>
      </w:pPr>
    </w:p>
    <w:p w14:paraId="6C7126D0" w14:textId="77777777" w:rsidR="00A67B90" w:rsidRDefault="00A67B90" w:rsidP="00A67B90">
      <w:pPr>
        <w:pStyle w:val="NoSpacing"/>
        <w:rPr>
          <w:rFonts w:ascii="Times New Roman" w:hAnsi="Times New Roman"/>
          <w:sz w:val="24"/>
          <w:szCs w:val="24"/>
        </w:rPr>
      </w:pPr>
    </w:p>
    <w:p w14:paraId="4BEAF4F8" w14:textId="77777777" w:rsidR="00A67B90" w:rsidRDefault="00A67B90" w:rsidP="00A67B90">
      <w:pPr>
        <w:pStyle w:val="NoSpacing"/>
        <w:rPr>
          <w:rFonts w:ascii="Times New Roman" w:hAnsi="Times New Roman"/>
          <w:b/>
          <w:sz w:val="24"/>
          <w:szCs w:val="24"/>
        </w:rPr>
      </w:pPr>
      <w:r>
        <w:rPr>
          <w:rFonts w:ascii="Times New Roman" w:hAnsi="Times New Roman"/>
          <w:b/>
          <w:sz w:val="24"/>
          <w:szCs w:val="24"/>
        </w:rPr>
        <w:t>Exemption Data:</w:t>
      </w:r>
    </w:p>
    <w:p w14:paraId="0FC4AE3B" w14:textId="77777777" w:rsidR="00A67B90" w:rsidRDefault="00A67B90" w:rsidP="00A67B90">
      <w:pPr>
        <w:pStyle w:val="NoSpacing"/>
        <w:rPr>
          <w:rFonts w:ascii="Times New Roman" w:hAnsi="Times New Roman"/>
          <w:b/>
          <w:sz w:val="24"/>
          <w:szCs w:val="24"/>
        </w:rPr>
      </w:pPr>
    </w:p>
    <w:tbl>
      <w:tblPr>
        <w:tblW w:w="25222" w:type="dxa"/>
        <w:tblInd w:w="-252" w:type="dxa"/>
        <w:tblLayout w:type="fixed"/>
        <w:tblLook w:val="00A0" w:firstRow="1" w:lastRow="0" w:firstColumn="1" w:lastColumn="0" w:noHBand="0" w:noVBand="0"/>
      </w:tblPr>
      <w:tblGrid>
        <w:gridCol w:w="2340"/>
        <w:gridCol w:w="1260"/>
        <w:gridCol w:w="1440"/>
        <w:gridCol w:w="1260"/>
        <w:gridCol w:w="1401"/>
        <w:gridCol w:w="39"/>
        <w:gridCol w:w="1276"/>
        <w:gridCol w:w="704"/>
        <w:gridCol w:w="375"/>
        <w:gridCol w:w="963"/>
        <w:gridCol w:w="282"/>
        <w:gridCol w:w="360"/>
        <w:gridCol w:w="223"/>
        <w:gridCol w:w="963"/>
        <w:gridCol w:w="74"/>
        <w:gridCol w:w="809"/>
        <w:gridCol w:w="236"/>
        <w:gridCol w:w="2342"/>
        <w:gridCol w:w="1775"/>
        <w:gridCol w:w="1775"/>
        <w:gridCol w:w="1775"/>
        <w:gridCol w:w="1775"/>
        <w:gridCol w:w="1775"/>
      </w:tblGrid>
      <w:tr w:rsidR="00A67B90" w:rsidRPr="00C733C8" w14:paraId="2DABFF76" w14:textId="77777777" w:rsidTr="00E439D8">
        <w:trPr>
          <w:gridAfter w:val="6"/>
          <w:wAfter w:w="11217" w:type="dxa"/>
          <w:trHeight w:val="255"/>
        </w:trPr>
        <w:tc>
          <w:tcPr>
            <w:tcW w:w="7701" w:type="dxa"/>
            <w:gridSpan w:val="5"/>
            <w:tcBorders>
              <w:top w:val="nil"/>
              <w:left w:val="nil"/>
              <w:bottom w:val="nil"/>
              <w:right w:val="nil"/>
            </w:tcBorders>
            <w:noWrap/>
            <w:vAlign w:val="bottom"/>
          </w:tcPr>
          <w:p w14:paraId="075CC2A3" w14:textId="77777777" w:rsidR="00A67B90" w:rsidRPr="009C42C7" w:rsidRDefault="00A67B90" w:rsidP="00E439D8">
            <w:pPr>
              <w:rPr>
                <w:rFonts w:ascii="Arial" w:hAnsi="Arial" w:cs="Arial"/>
                <w:sz w:val="16"/>
                <w:szCs w:val="16"/>
              </w:rPr>
            </w:pPr>
          </w:p>
        </w:tc>
        <w:tc>
          <w:tcPr>
            <w:tcW w:w="1315" w:type="dxa"/>
            <w:gridSpan w:val="2"/>
            <w:tcBorders>
              <w:top w:val="nil"/>
              <w:left w:val="nil"/>
              <w:bottom w:val="nil"/>
              <w:right w:val="nil"/>
            </w:tcBorders>
            <w:noWrap/>
            <w:vAlign w:val="bottom"/>
          </w:tcPr>
          <w:p w14:paraId="0CA39958" w14:textId="77777777" w:rsidR="00A67B90" w:rsidRPr="009C42C7" w:rsidRDefault="00A67B90" w:rsidP="00E439D8">
            <w:pPr>
              <w:rPr>
                <w:rFonts w:ascii="Arial" w:hAnsi="Arial" w:cs="Arial"/>
                <w:sz w:val="16"/>
                <w:szCs w:val="16"/>
              </w:rPr>
            </w:pPr>
          </w:p>
        </w:tc>
        <w:tc>
          <w:tcPr>
            <w:tcW w:w="1079" w:type="dxa"/>
            <w:gridSpan w:val="2"/>
            <w:tcBorders>
              <w:top w:val="nil"/>
              <w:left w:val="nil"/>
              <w:bottom w:val="nil"/>
              <w:right w:val="nil"/>
            </w:tcBorders>
            <w:noWrap/>
            <w:vAlign w:val="bottom"/>
          </w:tcPr>
          <w:p w14:paraId="7B3E8C4C" w14:textId="77777777" w:rsidR="00A67B90" w:rsidRPr="009C42C7" w:rsidRDefault="00A67B90" w:rsidP="00E439D8">
            <w:pPr>
              <w:rPr>
                <w:rFonts w:ascii="Arial" w:hAnsi="Arial" w:cs="Arial"/>
                <w:sz w:val="16"/>
                <w:szCs w:val="16"/>
              </w:rPr>
            </w:pPr>
          </w:p>
        </w:tc>
        <w:tc>
          <w:tcPr>
            <w:tcW w:w="963" w:type="dxa"/>
            <w:tcBorders>
              <w:top w:val="nil"/>
              <w:left w:val="nil"/>
              <w:bottom w:val="nil"/>
              <w:right w:val="nil"/>
            </w:tcBorders>
            <w:noWrap/>
            <w:vAlign w:val="bottom"/>
          </w:tcPr>
          <w:p w14:paraId="29993CD1" w14:textId="77777777" w:rsidR="00A67B90" w:rsidRPr="009C42C7" w:rsidRDefault="00A67B90" w:rsidP="00E439D8">
            <w:pPr>
              <w:rPr>
                <w:rFonts w:ascii="Arial" w:hAnsi="Arial" w:cs="Arial"/>
                <w:sz w:val="16"/>
                <w:szCs w:val="16"/>
              </w:rPr>
            </w:pPr>
          </w:p>
        </w:tc>
        <w:tc>
          <w:tcPr>
            <w:tcW w:w="282" w:type="dxa"/>
            <w:tcBorders>
              <w:top w:val="nil"/>
              <w:left w:val="nil"/>
              <w:bottom w:val="nil"/>
              <w:right w:val="nil"/>
            </w:tcBorders>
            <w:noWrap/>
            <w:vAlign w:val="bottom"/>
          </w:tcPr>
          <w:p w14:paraId="76BEE57B" w14:textId="77777777" w:rsidR="00A67B90" w:rsidRPr="009C42C7" w:rsidRDefault="00A67B90" w:rsidP="00E439D8">
            <w:pPr>
              <w:rPr>
                <w:rFonts w:ascii="Arial" w:hAnsi="Arial" w:cs="Arial"/>
                <w:sz w:val="16"/>
                <w:szCs w:val="16"/>
              </w:rPr>
            </w:pPr>
          </w:p>
        </w:tc>
        <w:tc>
          <w:tcPr>
            <w:tcW w:w="1546" w:type="dxa"/>
            <w:gridSpan w:val="3"/>
            <w:tcBorders>
              <w:top w:val="nil"/>
              <w:left w:val="nil"/>
              <w:bottom w:val="nil"/>
              <w:right w:val="nil"/>
            </w:tcBorders>
            <w:noWrap/>
            <w:vAlign w:val="bottom"/>
          </w:tcPr>
          <w:p w14:paraId="14768B6F" w14:textId="77777777" w:rsidR="00A67B90" w:rsidRPr="009C42C7" w:rsidRDefault="00A67B90" w:rsidP="00E439D8">
            <w:pPr>
              <w:rPr>
                <w:rFonts w:ascii="Arial" w:hAnsi="Arial" w:cs="Arial"/>
                <w:sz w:val="16"/>
                <w:szCs w:val="16"/>
              </w:rPr>
            </w:pPr>
          </w:p>
        </w:tc>
        <w:tc>
          <w:tcPr>
            <w:tcW w:w="883" w:type="dxa"/>
            <w:gridSpan w:val="2"/>
            <w:tcBorders>
              <w:top w:val="nil"/>
              <w:left w:val="nil"/>
              <w:bottom w:val="nil"/>
              <w:right w:val="nil"/>
            </w:tcBorders>
            <w:noWrap/>
            <w:vAlign w:val="bottom"/>
          </w:tcPr>
          <w:p w14:paraId="22CFDC98" w14:textId="77777777" w:rsidR="00A67B90" w:rsidRPr="009C42C7" w:rsidRDefault="00A67B90" w:rsidP="00E439D8">
            <w:pPr>
              <w:rPr>
                <w:rFonts w:ascii="Arial" w:hAnsi="Arial" w:cs="Arial"/>
                <w:sz w:val="16"/>
                <w:szCs w:val="16"/>
              </w:rPr>
            </w:pPr>
          </w:p>
        </w:tc>
        <w:tc>
          <w:tcPr>
            <w:tcW w:w="236" w:type="dxa"/>
            <w:tcBorders>
              <w:top w:val="nil"/>
              <w:left w:val="nil"/>
              <w:bottom w:val="nil"/>
              <w:right w:val="nil"/>
            </w:tcBorders>
            <w:noWrap/>
            <w:vAlign w:val="bottom"/>
          </w:tcPr>
          <w:p w14:paraId="1B4E80B2" w14:textId="77777777" w:rsidR="00A67B90" w:rsidRPr="009C42C7" w:rsidRDefault="00A67B90" w:rsidP="00E439D8">
            <w:pPr>
              <w:rPr>
                <w:rFonts w:ascii="Arial" w:hAnsi="Arial" w:cs="Arial"/>
                <w:sz w:val="16"/>
                <w:szCs w:val="16"/>
              </w:rPr>
            </w:pPr>
          </w:p>
        </w:tc>
      </w:tr>
      <w:tr w:rsidR="00A67B90" w:rsidRPr="00C733C8" w14:paraId="559004F9" w14:textId="77777777" w:rsidTr="00E439D8">
        <w:trPr>
          <w:gridAfter w:val="8"/>
          <w:wAfter w:w="12262" w:type="dxa"/>
          <w:trHeight w:val="1002"/>
        </w:trPr>
        <w:tc>
          <w:tcPr>
            <w:tcW w:w="2340" w:type="dxa"/>
            <w:tcBorders>
              <w:top w:val="nil"/>
              <w:left w:val="nil"/>
              <w:bottom w:val="single" w:sz="8" w:space="0" w:color="auto"/>
              <w:right w:val="single" w:sz="8" w:space="0" w:color="auto"/>
            </w:tcBorders>
            <w:shd w:val="clear" w:color="000000" w:fill="FFFF00"/>
            <w:noWrap/>
            <w:vAlign w:val="center"/>
          </w:tcPr>
          <w:p w14:paraId="3A7420B1" w14:textId="77777777" w:rsidR="00A67B90" w:rsidRPr="009C42C7" w:rsidRDefault="00A67B90" w:rsidP="00E439D8">
            <w:pPr>
              <w:rPr>
                <w:rFonts w:ascii="Arial" w:hAnsi="Arial" w:cs="Arial"/>
                <w:b/>
                <w:bCs/>
                <w:sz w:val="16"/>
                <w:szCs w:val="16"/>
              </w:rPr>
            </w:pPr>
            <w:r w:rsidRPr="009C42C7">
              <w:rPr>
                <w:rFonts w:ascii="Arial" w:hAnsi="Arial" w:cs="Arial"/>
                <w:b/>
                <w:bCs/>
                <w:sz w:val="16"/>
                <w:szCs w:val="16"/>
              </w:rPr>
              <w:t>JURISDICTION</w:t>
            </w:r>
          </w:p>
        </w:tc>
        <w:tc>
          <w:tcPr>
            <w:tcW w:w="1260" w:type="dxa"/>
            <w:tcBorders>
              <w:top w:val="nil"/>
              <w:left w:val="nil"/>
              <w:bottom w:val="single" w:sz="8" w:space="0" w:color="auto"/>
              <w:right w:val="single" w:sz="8" w:space="0" w:color="auto"/>
            </w:tcBorders>
            <w:shd w:val="clear" w:color="000000" w:fill="FFFF00"/>
            <w:vAlign w:val="center"/>
          </w:tcPr>
          <w:p w14:paraId="14170371" w14:textId="77777777" w:rsidR="00A67B90" w:rsidRPr="009C42C7" w:rsidRDefault="00A67B90" w:rsidP="00E439D8">
            <w:pPr>
              <w:rPr>
                <w:rFonts w:ascii="Arial" w:hAnsi="Arial" w:cs="Arial"/>
                <w:b/>
                <w:bCs/>
                <w:sz w:val="16"/>
                <w:szCs w:val="16"/>
              </w:rPr>
            </w:pPr>
            <w:r w:rsidRPr="009C42C7">
              <w:rPr>
                <w:rFonts w:ascii="Arial" w:hAnsi="Arial" w:cs="Arial"/>
                <w:b/>
                <w:bCs/>
                <w:sz w:val="16"/>
                <w:szCs w:val="16"/>
              </w:rPr>
              <w:t>State Mandated General Homestead</w:t>
            </w:r>
          </w:p>
        </w:tc>
        <w:tc>
          <w:tcPr>
            <w:tcW w:w="1440" w:type="dxa"/>
            <w:tcBorders>
              <w:top w:val="nil"/>
              <w:left w:val="nil"/>
              <w:bottom w:val="single" w:sz="8" w:space="0" w:color="auto"/>
              <w:right w:val="single" w:sz="8" w:space="0" w:color="auto"/>
            </w:tcBorders>
            <w:shd w:val="clear" w:color="000000" w:fill="FFFF00"/>
            <w:vAlign w:val="center"/>
          </w:tcPr>
          <w:p w14:paraId="51EBB10F" w14:textId="77777777" w:rsidR="00A67B90" w:rsidRPr="009C42C7" w:rsidRDefault="00A67B90" w:rsidP="00E439D8">
            <w:pPr>
              <w:rPr>
                <w:rFonts w:ascii="Arial" w:hAnsi="Arial" w:cs="Arial"/>
                <w:b/>
                <w:bCs/>
                <w:sz w:val="16"/>
                <w:szCs w:val="16"/>
              </w:rPr>
            </w:pPr>
            <w:r w:rsidRPr="009C42C7">
              <w:rPr>
                <w:rFonts w:ascii="Arial" w:hAnsi="Arial" w:cs="Arial"/>
                <w:b/>
                <w:bCs/>
                <w:sz w:val="16"/>
                <w:szCs w:val="16"/>
              </w:rPr>
              <w:t>Local Optional General Homestead</w:t>
            </w:r>
          </w:p>
        </w:tc>
        <w:tc>
          <w:tcPr>
            <w:tcW w:w="1260" w:type="dxa"/>
            <w:tcBorders>
              <w:top w:val="nil"/>
              <w:left w:val="nil"/>
              <w:bottom w:val="single" w:sz="8" w:space="0" w:color="auto"/>
              <w:right w:val="single" w:sz="8" w:space="0" w:color="auto"/>
            </w:tcBorders>
            <w:shd w:val="clear" w:color="000000" w:fill="FFFF00"/>
            <w:vAlign w:val="center"/>
          </w:tcPr>
          <w:p w14:paraId="59F47054" w14:textId="77777777" w:rsidR="00A67B90" w:rsidRPr="009C42C7" w:rsidRDefault="00A67B90" w:rsidP="00E439D8">
            <w:pPr>
              <w:rPr>
                <w:rFonts w:ascii="Arial" w:hAnsi="Arial" w:cs="Arial"/>
                <w:b/>
                <w:bCs/>
                <w:sz w:val="16"/>
                <w:szCs w:val="16"/>
              </w:rPr>
            </w:pPr>
            <w:r w:rsidRPr="009C42C7">
              <w:rPr>
                <w:rFonts w:ascii="Arial" w:hAnsi="Arial" w:cs="Arial"/>
                <w:b/>
                <w:bCs/>
                <w:sz w:val="16"/>
                <w:szCs w:val="16"/>
              </w:rPr>
              <w:t>State Mandated Over 65</w:t>
            </w:r>
          </w:p>
        </w:tc>
        <w:tc>
          <w:tcPr>
            <w:tcW w:w="1440" w:type="dxa"/>
            <w:gridSpan w:val="2"/>
            <w:tcBorders>
              <w:top w:val="nil"/>
              <w:left w:val="nil"/>
              <w:bottom w:val="single" w:sz="8" w:space="0" w:color="auto"/>
              <w:right w:val="single" w:sz="8" w:space="0" w:color="auto"/>
            </w:tcBorders>
            <w:shd w:val="clear" w:color="000000" w:fill="FFFF00"/>
            <w:vAlign w:val="center"/>
          </w:tcPr>
          <w:p w14:paraId="1186253A" w14:textId="77777777" w:rsidR="00A67B90" w:rsidRPr="009C42C7" w:rsidRDefault="00A67B90" w:rsidP="00E439D8">
            <w:pPr>
              <w:rPr>
                <w:rFonts w:ascii="Arial" w:hAnsi="Arial" w:cs="Arial"/>
                <w:b/>
                <w:bCs/>
                <w:sz w:val="16"/>
                <w:szCs w:val="16"/>
              </w:rPr>
            </w:pPr>
            <w:r w:rsidRPr="009C42C7">
              <w:rPr>
                <w:rFonts w:ascii="Arial" w:hAnsi="Arial" w:cs="Arial"/>
                <w:b/>
                <w:bCs/>
                <w:sz w:val="16"/>
                <w:szCs w:val="16"/>
              </w:rPr>
              <w:t>Optional         Over 65</w:t>
            </w:r>
          </w:p>
        </w:tc>
        <w:tc>
          <w:tcPr>
            <w:tcW w:w="1980" w:type="dxa"/>
            <w:gridSpan w:val="2"/>
            <w:tcBorders>
              <w:top w:val="nil"/>
              <w:left w:val="nil"/>
              <w:bottom w:val="single" w:sz="8" w:space="0" w:color="auto"/>
              <w:right w:val="single" w:sz="8" w:space="0" w:color="auto"/>
            </w:tcBorders>
            <w:shd w:val="clear" w:color="000000" w:fill="FFFF00"/>
            <w:vAlign w:val="center"/>
          </w:tcPr>
          <w:p w14:paraId="624EEC53" w14:textId="77777777" w:rsidR="00A67B90" w:rsidRPr="009C42C7" w:rsidRDefault="00A67B90" w:rsidP="00E439D8">
            <w:pPr>
              <w:rPr>
                <w:rFonts w:ascii="Arial" w:hAnsi="Arial" w:cs="Arial"/>
                <w:b/>
                <w:bCs/>
                <w:sz w:val="16"/>
                <w:szCs w:val="16"/>
              </w:rPr>
            </w:pPr>
            <w:r w:rsidRPr="009C42C7">
              <w:rPr>
                <w:rFonts w:ascii="Arial" w:hAnsi="Arial" w:cs="Arial"/>
                <w:b/>
                <w:bCs/>
                <w:sz w:val="16"/>
                <w:szCs w:val="16"/>
              </w:rPr>
              <w:t>State Mandated Disabled</w:t>
            </w:r>
          </w:p>
        </w:tc>
        <w:tc>
          <w:tcPr>
            <w:tcW w:w="1980" w:type="dxa"/>
            <w:gridSpan w:val="4"/>
            <w:tcBorders>
              <w:top w:val="nil"/>
              <w:left w:val="nil"/>
              <w:bottom w:val="single" w:sz="8" w:space="0" w:color="auto"/>
              <w:right w:val="single" w:sz="8" w:space="0" w:color="auto"/>
            </w:tcBorders>
            <w:shd w:val="clear" w:color="000000" w:fill="FFFF00"/>
            <w:vAlign w:val="center"/>
          </w:tcPr>
          <w:p w14:paraId="08CD0638" w14:textId="77777777" w:rsidR="00A67B90" w:rsidRPr="009C42C7" w:rsidRDefault="00A67B90" w:rsidP="00E439D8">
            <w:pPr>
              <w:ind w:left="252"/>
              <w:rPr>
                <w:rFonts w:ascii="Arial" w:hAnsi="Arial" w:cs="Arial"/>
                <w:b/>
                <w:bCs/>
                <w:sz w:val="16"/>
                <w:szCs w:val="16"/>
              </w:rPr>
            </w:pPr>
            <w:r w:rsidRPr="009C42C7">
              <w:rPr>
                <w:rFonts w:ascii="Arial" w:hAnsi="Arial" w:cs="Arial"/>
                <w:b/>
                <w:bCs/>
                <w:sz w:val="16"/>
                <w:szCs w:val="16"/>
              </w:rPr>
              <w:t>Optional    Disabled</w:t>
            </w:r>
          </w:p>
        </w:tc>
        <w:tc>
          <w:tcPr>
            <w:tcW w:w="1260" w:type="dxa"/>
            <w:gridSpan w:val="3"/>
            <w:tcBorders>
              <w:top w:val="nil"/>
              <w:left w:val="nil"/>
              <w:bottom w:val="single" w:sz="8" w:space="0" w:color="auto"/>
              <w:right w:val="single" w:sz="8" w:space="0" w:color="auto"/>
            </w:tcBorders>
            <w:shd w:val="clear" w:color="000000" w:fill="FFFF00"/>
            <w:vAlign w:val="center"/>
          </w:tcPr>
          <w:p w14:paraId="3C74528F" w14:textId="77777777" w:rsidR="00A67B90" w:rsidRPr="009C42C7" w:rsidRDefault="00A67B90" w:rsidP="00E439D8">
            <w:pPr>
              <w:rPr>
                <w:rFonts w:ascii="Arial" w:hAnsi="Arial" w:cs="Arial"/>
                <w:b/>
                <w:bCs/>
                <w:sz w:val="16"/>
                <w:szCs w:val="16"/>
              </w:rPr>
            </w:pPr>
            <w:r w:rsidRPr="009C42C7">
              <w:rPr>
                <w:rFonts w:ascii="Arial" w:hAnsi="Arial" w:cs="Arial"/>
                <w:b/>
                <w:bCs/>
                <w:sz w:val="16"/>
                <w:szCs w:val="16"/>
              </w:rPr>
              <w:t>* Local         Percent</w:t>
            </w:r>
          </w:p>
        </w:tc>
      </w:tr>
      <w:tr w:rsidR="00A67B90" w:rsidRPr="00C733C8" w14:paraId="706A904A"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111BBA2C" w14:textId="77777777" w:rsidR="00A67B90" w:rsidRPr="009C42C7" w:rsidRDefault="00A67B90" w:rsidP="00E439D8">
            <w:pPr>
              <w:rPr>
                <w:rFonts w:ascii="Arial" w:hAnsi="Arial" w:cs="Arial"/>
                <w:sz w:val="16"/>
                <w:szCs w:val="16"/>
              </w:rPr>
            </w:pPr>
            <w:r>
              <w:rPr>
                <w:rFonts w:ascii="Arial" w:hAnsi="Arial" w:cs="Arial"/>
                <w:sz w:val="16"/>
                <w:szCs w:val="16"/>
              </w:rPr>
              <w:t>Montague</w:t>
            </w:r>
            <w:r w:rsidRPr="009C42C7">
              <w:rPr>
                <w:rFonts w:ascii="Arial" w:hAnsi="Arial" w:cs="Arial"/>
                <w:sz w:val="16"/>
                <w:szCs w:val="16"/>
              </w:rPr>
              <w:t xml:space="preserve"> County</w:t>
            </w:r>
          </w:p>
        </w:tc>
        <w:tc>
          <w:tcPr>
            <w:tcW w:w="1260" w:type="dxa"/>
            <w:tcBorders>
              <w:top w:val="nil"/>
              <w:left w:val="nil"/>
              <w:bottom w:val="single" w:sz="4" w:space="0" w:color="auto"/>
              <w:right w:val="single" w:sz="8" w:space="0" w:color="auto"/>
            </w:tcBorders>
            <w:noWrap/>
            <w:vAlign w:val="center"/>
          </w:tcPr>
          <w:p w14:paraId="6FC1EB2B" w14:textId="77777777" w:rsidR="00A67B90" w:rsidRPr="009C42C7" w:rsidRDefault="00A67B90" w:rsidP="00E439D8">
            <w:pPr>
              <w:rPr>
                <w:rFonts w:ascii="Arial" w:hAnsi="Arial" w:cs="Arial"/>
                <w:sz w:val="16"/>
                <w:szCs w:val="16"/>
              </w:rPr>
            </w:pPr>
            <w:r>
              <w:rPr>
                <w:rFonts w:ascii="Arial" w:hAnsi="Arial" w:cs="Arial"/>
                <w:sz w:val="16"/>
                <w:szCs w:val="16"/>
              </w:rPr>
              <w:t>20% or 5,000</w:t>
            </w:r>
          </w:p>
        </w:tc>
        <w:tc>
          <w:tcPr>
            <w:tcW w:w="1440" w:type="dxa"/>
            <w:tcBorders>
              <w:top w:val="nil"/>
              <w:left w:val="nil"/>
              <w:bottom w:val="single" w:sz="4" w:space="0" w:color="auto"/>
              <w:right w:val="single" w:sz="8" w:space="0" w:color="auto"/>
            </w:tcBorders>
            <w:noWrap/>
            <w:vAlign w:val="center"/>
          </w:tcPr>
          <w:p w14:paraId="7D67D1DE" w14:textId="77777777" w:rsidR="00A67B90" w:rsidRPr="009C42C7" w:rsidRDefault="00A67B90" w:rsidP="00E439D8">
            <w:pPr>
              <w:rPr>
                <w:rFonts w:ascii="Arial" w:hAnsi="Arial" w:cs="Arial"/>
                <w:sz w:val="16"/>
                <w:szCs w:val="16"/>
              </w:rPr>
            </w:pPr>
          </w:p>
        </w:tc>
        <w:tc>
          <w:tcPr>
            <w:tcW w:w="1260" w:type="dxa"/>
            <w:tcBorders>
              <w:top w:val="nil"/>
              <w:left w:val="nil"/>
              <w:bottom w:val="single" w:sz="4" w:space="0" w:color="auto"/>
              <w:right w:val="single" w:sz="8" w:space="0" w:color="auto"/>
            </w:tcBorders>
            <w:noWrap/>
            <w:vAlign w:val="center"/>
          </w:tcPr>
          <w:p w14:paraId="12EB3E97" w14:textId="77777777" w:rsidR="00A67B90" w:rsidRPr="009C42C7" w:rsidRDefault="00A67B90" w:rsidP="00E439D8">
            <w:pPr>
              <w:rPr>
                <w:rFonts w:ascii="Arial" w:hAnsi="Arial" w:cs="Arial"/>
                <w:sz w:val="16"/>
                <w:szCs w:val="16"/>
              </w:rPr>
            </w:pPr>
          </w:p>
        </w:tc>
        <w:tc>
          <w:tcPr>
            <w:tcW w:w="1440" w:type="dxa"/>
            <w:gridSpan w:val="2"/>
            <w:tcBorders>
              <w:top w:val="nil"/>
              <w:left w:val="nil"/>
              <w:bottom w:val="single" w:sz="4" w:space="0" w:color="auto"/>
              <w:right w:val="single" w:sz="8" w:space="0" w:color="auto"/>
            </w:tcBorders>
            <w:noWrap/>
            <w:vAlign w:val="center"/>
          </w:tcPr>
          <w:p w14:paraId="65CCF3F4" w14:textId="77777777" w:rsidR="00A67B90" w:rsidRPr="009C42C7" w:rsidRDefault="00A67B90" w:rsidP="00E439D8">
            <w:pPr>
              <w:rPr>
                <w:rFonts w:ascii="Arial" w:hAnsi="Arial" w:cs="Arial"/>
                <w:sz w:val="16"/>
                <w:szCs w:val="16"/>
              </w:rPr>
            </w:pPr>
          </w:p>
        </w:tc>
        <w:tc>
          <w:tcPr>
            <w:tcW w:w="1980" w:type="dxa"/>
            <w:gridSpan w:val="2"/>
            <w:tcBorders>
              <w:top w:val="nil"/>
              <w:left w:val="nil"/>
              <w:bottom w:val="single" w:sz="4" w:space="0" w:color="auto"/>
              <w:right w:val="single" w:sz="8" w:space="0" w:color="auto"/>
            </w:tcBorders>
            <w:noWrap/>
            <w:vAlign w:val="center"/>
          </w:tcPr>
          <w:p w14:paraId="02B7D453" w14:textId="77777777" w:rsidR="00A67B90" w:rsidRPr="009C42C7" w:rsidRDefault="00A67B90" w:rsidP="00E439D8">
            <w:pPr>
              <w:rPr>
                <w:rFonts w:ascii="Arial" w:hAnsi="Arial" w:cs="Arial"/>
                <w:sz w:val="16"/>
                <w:szCs w:val="16"/>
              </w:rPr>
            </w:pPr>
          </w:p>
        </w:tc>
        <w:tc>
          <w:tcPr>
            <w:tcW w:w="1980" w:type="dxa"/>
            <w:gridSpan w:val="4"/>
            <w:tcBorders>
              <w:top w:val="nil"/>
              <w:left w:val="nil"/>
              <w:bottom w:val="single" w:sz="4" w:space="0" w:color="auto"/>
              <w:right w:val="single" w:sz="8" w:space="0" w:color="auto"/>
            </w:tcBorders>
            <w:noWrap/>
            <w:vAlign w:val="center"/>
          </w:tcPr>
          <w:p w14:paraId="61593138" w14:textId="77777777" w:rsidR="00A67B90" w:rsidRPr="009C42C7" w:rsidRDefault="00A67B90" w:rsidP="00E439D8">
            <w:pPr>
              <w:rPr>
                <w:rFonts w:ascii="Arial" w:hAnsi="Arial" w:cs="Arial"/>
                <w:sz w:val="16"/>
                <w:szCs w:val="16"/>
              </w:rPr>
            </w:pPr>
            <w:r>
              <w:rPr>
                <w:rFonts w:ascii="Arial" w:hAnsi="Arial" w:cs="Arial"/>
                <w:sz w:val="16"/>
                <w:szCs w:val="16"/>
              </w:rPr>
              <w:t xml:space="preserve">N/A </w:t>
            </w:r>
          </w:p>
        </w:tc>
        <w:tc>
          <w:tcPr>
            <w:tcW w:w="1260" w:type="dxa"/>
            <w:gridSpan w:val="3"/>
            <w:tcBorders>
              <w:top w:val="nil"/>
              <w:left w:val="nil"/>
              <w:bottom w:val="single" w:sz="4" w:space="0" w:color="auto"/>
              <w:right w:val="single" w:sz="8" w:space="0" w:color="auto"/>
            </w:tcBorders>
            <w:noWrap/>
            <w:vAlign w:val="center"/>
          </w:tcPr>
          <w:p w14:paraId="35C20C9C" w14:textId="77777777" w:rsidR="00A67B90" w:rsidRPr="009C42C7" w:rsidRDefault="00A67B90" w:rsidP="00E439D8">
            <w:pPr>
              <w:rPr>
                <w:rFonts w:ascii="Arial" w:hAnsi="Arial" w:cs="Arial"/>
                <w:sz w:val="16"/>
                <w:szCs w:val="16"/>
              </w:rPr>
            </w:pPr>
            <w:r w:rsidRPr="009C42C7">
              <w:rPr>
                <w:rFonts w:ascii="Arial" w:hAnsi="Arial" w:cs="Arial"/>
                <w:sz w:val="16"/>
                <w:szCs w:val="16"/>
              </w:rPr>
              <w:t>.20</w:t>
            </w:r>
            <w:r>
              <w:rPr>
                <w:rFonts w:ascii="Arial" w:hAnsi="Arial" w:cs="Arial"/>
                <w:sz w:val="16"/>
                <w:szCs w:val="16"/>
              </w:rPr>
              <w:t xml:space="preserve"> or $ 5,000</w:t>
            </w:r>
          </w:p>
        </w:tc>
      </w:tr>
      <w:tr w:rsidR="00A67B90" w:rsidRPr="00C733C8" w14:paraId="233CCF7D"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432E5BFF" w14:textId="77777777" w:rsidR="00A67B90" w:rsidRPr="009C42C7" w:rsidRDefault="00A67B90" w:rsidP="00E439D8">
            <w:pPr>
              <w:rPr>
                <w:rFonts w:ascii="Arial" w:hAnsi="Arial" w:cs="Arial"/>
                <w:sz w:val="16"/>
                <w:szCs w:val="16"/>
              </w:rPr>
            </w:pPr>
            <w:r>
              <w:rPr>
                <w:rFonts w:ascii="Arial" w:hAnsi="Arial" w:cs="Arial"/>
                <w:sz w:val="16"/>
                <w:szCs w:val="16"/>
              </w:rPr>
              <w:t xml:space="preserve">Alvord ISD </w:t>
            </w:r>
          </w:p>
        </w:tc>
        <w:tc>
          <w:tcPr>
            <w:tcW w:w="1260" w:type="dxa"/>
            <w:tcBorders>
              <w:top w:val="nil"/>
              <w:left w:val="nil"/>
              <w:bottom w:val="single" w:sz="4" w:space="0" w:color="auto"/>
              <w:right w:val="single" w:sz="8" w:space="0" w:color="auto"/>
            </w:tcBorders>
            <w:noWrap/>
            <w:vAlign w:val="center"/>
          </w:tcPr>
          <w:p w14:paraId="648C1BE1" w14:textId="77777777" w:rsidR="00A67B90" w:rsidRDefault="00A67B90" w:rsidP="00E439D8">
            <w:pPr>
              <w:rPr>
                <w:rFonts w:ascii="Arial" w:hAnsi="Arial" w:cs="Arial"/>
                <w:sz w:val="16"/>
                <w:szCs w:val="16"/>
              </w:rPr>
            </w:pPr>
          </w:p>
          <w:p w14:paraId="6E166333" w14:textId="3129660E" w:rsidR="00A67B90"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1</w:t>
            </w:r>
            <w:r>
              <w:rPr>
                <w:rFonts w:ascii="Arial" w:hAnsi="Arial" w:cs="Arial"/>
                <w:sz w:val="16"/>
                <w:szCs w:val="16"/>
              </w:rPr>
              <w:t>40,000</w:t>
            </w:r>
          </w:p>
          <w:p w14:paraId="6BE87AE9" w14:textId="77777777" w:rsidR="00A67B90" w:rsidRPr="009C42C7" w:rsidRDefault="00A67B90" w:rsidP="00E439D8">
            <w:pPr>
              <w:rPr>
                <w:rFonts w:ascii="Arial" w:hAnsi="Arial" w:cs="Arial"/>
                <w:sz w:val="16"/>
                <w:szCs w:val="16"/>
              </w:rPr>
            </w:pPr>
          </w:p>
        </w:tc>
        <w:tc>
          <w:tcPr>
            <w:tcW w:w="1440" w:type="dxa"/>
            <w:tcBorders>
              <w:top w:val="nil"/>
              <w:left w:val="nil"/>
              <w:bottom w:val="single" w:sz="4" w:space="0" w:color="auto"/>
              <w:right w:val="single" w:sz="8" w:space="0" w:color="auto"/>
            </w:tcBorders>
            <w:noWrap/>
            <w:vAlign w:val="center"/>
          </w:tcPr>
          <w:p w14:paraId="50C01F53"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tcBorders>
              <w:top w:val="nil"/>
              <w:left w:val="nil"/>
              <w:bottom w:val="single" w:sz="4" w:space="0" w:color="auto"/>
              <w:right w:val="single" w:sz="8" w:space="0" w:color="auto"/>
            </w:tcBorders>
            <w:noWrap/>
            <w:vAlign w:val="center"/>
          </w:tcPr>
          <w:p w14:paraId="757E9588" w14:textId="6A0352CB"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6</w:t>
            </w:r>
            <w:r>
              <w:rPr>
                <w:rFonts w:ascii="Arial" w:hAnsi="Arial" w:cs="Arial"/>
                <w:sz w:val="16"/>
                <w:szCs w:val="16"/>
              </w:rPr>
              <w:t>0</w:t>
            </w:r>
            <w:r w:rsidRPr="009C42C7">
              <w:rPr>
                <w:rFonts w:ascii="Arial" w:hAnsi="Arial" w:cs="Arial"/>
                <w:sz w:val="16"/>
                <w:szCs w:val="16"/>
              </w:rPr>
              <w:t>,000</w:t>
            </w:r>
          </w:p>
        </w:tc>
        <w:tc>
          <w:tcPr>
            <w:tcW w:w="1440" w:type="dxa"/>
            <w:gridSpan w:val="2"/>
            <w:tcBorders>
              <w:top w:val="nil"/>
              <w:left w:val="nil"/>
              <w:bottom w:val="single" w:sz="4" w:space="0" w:color="auto"/>
              <w:right w:val="single" w:sz="8" w:space="0" w:color="auto"/>
            </w:tcBorders>
            <w:noWrap/>
            <w:vAlign w:val="center"/>
          </w:tcPr>
          <w:p w14:paraId="143B6F35"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980" w:type="dxa"/>
            <w:gridSpan w:val="2"/>
            <w:tcBorders>
              <w:top w:val="nil"/>
              <w:left w:val="nil"/>
              <w:bottom w:val="single" w:sz="4" w:space="0" w:color="auto"/>
              <w:right w:val="single" w:sz="8" w:space="0" w:color="auto"/>
            </w:tcBorders>
            <w:noWrap/>
            <w:vAlign w:val="center"/>
          </w:tcPr>
          <w:p w14:paraId="4725EDD7" w14:textId="49046833"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6</w:t>
            </w:r>
            <w:r>
              <w:rPr>
                <w:rFonts w:ascii="Arial" w:hAnsi="Arial" w:cs="Arial"/>
                <w:sz w:val="16"/>
                <w:szCs w:val="16"/>
              </w:rPr>
              <w:t>0</w:t>
            </w:r>
            <w:r w:rsidRPr="009C42C7">
              <w:rPr>
                <w:rFonts w:ascii="Arial" w:hAnsi="Arial" w:cs="Arial"/>
                <w:sz w:val="16"/>
                <w:szCs w:val="16"/>
              </w:rPr>
              <w:t>,000</w:t>
            </w:r>
          </w:p>
        </w:tc>
        <w:tc>
          <w:tcPr>
            <w:tcW w:w="1980" w:type="dxa"/>
            <w:gridSpan w:val="4"/>
            <w:tcBorders>
              <w:top w:val="nil"/>
              <w:left w:val="nil"/>
              <w:bottom w:val="single" w:sz="4" w:space="0" w:color="auto"/>
              <w:right w:val="single" w:sz="8" w:space="0" w:color="auto"/>
            </w:tcBorders>
            <w:noWrap/>
            <w:vAlign w:val="center"/>
          </w:tcPr>
          <w:p w14:paraId="152223AE"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gridSpan w:val="3"/>
            <w:tcBorders>
              <w:top w:val="nil"/>
              <w:left w:val="nil"/>
              <w:bottom w:val="single" w:sz="4" w:space="0" w:color="auto"/>
              <w:right w:val="single" w:sz="8" w:space="0" w:color="auto"/>
            </w:tcBorders>
            <w:noWrap/>
            <w:vAlign w:val="center"/>
          </w:tcPr>
          <w:p w14:paraId="59BF8421" w14:textId="77777777" w:rsidR="00A67B90" w:rsidRPr="009C42C7" w:rsidRDefault="00A67B90" w:rsidP="00E439D8">
            <w:pPr>
              <w:rPr>
                <w:rFonts w:ascii="Arial" w:hAnsi="Arial" w:cs="Arial"/>
                <w:sz w:val="16"/>
                <w:szCs w:val="16"/>
              </w:rPr>
            </w:pPr>
            <w:r>
              <w:rPr>
                <w:rFonts w:ascii="Arial" w:hAnsi="Arial" w:cs="Arial"/>
                <w:sz w:val="16"/>
                <w:szCs w:val="16"/>
              </w:rPr>
              <w:t>N/A</w:t>
            </w:r>
          </w:p>
        </w:tc>
      </w:tr>
      <w:tr w:rsidR="00A67B90" w:rsidRPr="00C733C8" w14:paraId="02654EDD"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6EF0BEA8" w14:textId="77777777" w:rsidR="00A67B90" w:rsidRPr="009C42C7" w:rsidRDefault="00A67B90" w:rsidP="00E439D8">
            <w:pPr>
              <w:rPr>
                <w:rFonts w:ascii="Arial" w:hAnsi="Arial" w:cs="Arial"/>
                <w:sz w:val="16"/>
                <w:szCs w:val="16"/>
              </w:rPr>
            </w:pPr>
            <w:r>
              <w:rPr>
                <w:rFonts w:ascii="Arial" w:hAnsi="Arial" w:cs="Arial"/>
                <w:sz w:val="16"/>
                <w:szCs w:val="16"/>
              </w:rPr>
              <w:t>Bowie ISD</w:t>
            </w:r>
          </w:p>
        </w:tc>
        <w:tc>
          <w:tcPr>
            <w:tcW w:w="1260" w:type="dxa"/>
            <w:tcBorders>
              <w:top w:val="nil"/>
              <w:left w:val="nil"/>
              <w:bottom w:val="single" w:sz="4" w:space="0" w:color="auto"/>
              <w:right w:val="single" w:sz="8" w:space="0" w:color="auto"/>
            </w:tcBorders>
            <w:noWrap/>
            <w:vAlign w:val="center"/>
          </w:tcPr>
          <w:p w14:paraId="24CF217A" w14:textId="491E532E"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1</w:t>
            </w:r>
            <w:r>
              <w:rPr>
                <w:rFonts w:ascii="Arial" w:hAnsi="Arial" w:cs="Arial"/>
                <w:sz w:val="16"/>
                <w:szCs w:val="16"/>
              </w:rPr>
              <w:t>40,000</w:t>
            </w:r>
          </w:p>
        </w:tc>
        <w:tc>
          <w:tcPr>
            <w:tcW w:w="1440" w:type="dxa"/>
            <w:tcBorders>
              <w:top w:val="nil"/>
              <w:left w:val="nil"/>
              <w:bottom w:val="single" w:sz="4" w:space="0" w:color="auto"/>
              <w:right w:val="single" w:sz="8" w:space="0" w:color="auto"/>
            </w:tcBorders>
            <w:noWrap/>
            <w:vAlign w:val="center"/>
          </w:tcPr>
          <w:p w14:paraId="39441545"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tcBorders>
              <w:top w:val="nil"/>
              <w:left w:val="nil"/>
              <w:bottom w:val="single" w:sz="4" w:space="0" w:color="auto"/>
              <w:right w:val="single" w:sz="8" w:space="0" w:color="auto"/>
            </w:tcBorders>
            <w:noWrap/>
            <w:vAlign w:val="center"/>
          </w:tcPr>
          <w:p w14:paraId="03F0CAA4" w14:textId="06319E1D"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6</w:t>
            </w:r>
            <w:r>
              <w:rPr>
                <w:rFonts w:ascii="Arial" w:hAnsi="Arial" w:cs="Arial"/>
                <w:sz w:val="16"/>
                <w:szCs w:val="16"/>
              </w:rPr>
              <w:t>0,000</w:t>
            </w:r>
          </w:p>
        </w:tc>
        <w:tc>
          <w:tcPr>
            <w:tcW w:w="1440" w:type="dxa"/>
            <w:gridSpan w:val="2"/>
            <w:tcBorders>
              <w:top w:val="nil"/>
              <w:left w:val="nil"/>
              <w:bottom w:val="single" w:sz="4" w:space="0" w:color="auto"/>
              <w:right w:val="single" w:sz="8" w:space="0" w:color="auto"/>
            </w:tcBorders>
            <w:noWrap/>
            <w:vAlign w:val="center"/>
          </w:tcPr>
          <w:p w14:paraId="479AAF7F"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2"/>
            <w:tcBorders>
              <w:top w:val="nil"/>
              <w:left w:val="nil"/>
              <w:bottom w:val="single" w:sz="4" w:space="0" w:color="auto"/>
              <w:right w:val="single" w:sz="8" w:space="0" w:color="auto"/>
            </w:tcBorders>
            <w:noWrap/>
            <w:vAlign w:val="center"/>
          </w:tcPr>
          <w:p w14:paraId="144B84A4" w14:textId="5842D307"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6</w:t>
            </w:r>
            <w:r>
              <w:rPr>
                <w:rFonts w:ascii="Arial" w:hAnsi="Arial" w:cs="Arial"/>
                <w:sz w:val="16"/>
                <w:szCs w:val="16"/>
              </w:rPr>
              <w:t>0,000</w:t>
            </w:r>
          </w:p>
        </w:tc>
        <w:tc>
          <w:tcPr>
            <w:tcW w:w="1980" w:type="dxa"/>
            <w:gridSpan w:val="4"/>
            <w:tcBorders>
              <w:top w:val="nil"/>
              <w:left w:val="nil"/>
              <w:bottom w:val="single" w:sz="4" w:space="0" w:color="auto"/>
              <w:right w:val="single" w:sz="8" w:space="0" w:color="auto"/>
            </w:tcBorders>
            <w:noWrap/>
            <w:vAlign w:val="center"/>
          </w:tcPr>
          <w:p w14:paraId="302C3177"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gridSpan w:val="3"/>
            <w:tcBorders>
              <w:top w:val="nil"/>
              <w:left w:val="nil"/>
              <w:bottom w:val="single" w:sz="4" w:space="0" w:color="auto"/>
              <w:right w:val="single" w:sz="8" w:space="0" w:color="auto"/>
            </w:tcBorders>
            <w:noWrap/>
            <w:vAlign w:val="center"/>
          </w:tcPr>
          <w:p w14:paraId="2A726A50" w14:textId="77777777" w:rsidR="00A67B90" w:rsidRPr="009C42C7" w:rsidRDefault="00A67B90" w:rsidP="00E439D8">
            <w:pPr>
              <w:rPr>
                <w:rFonts w:ascii="Arial" w:hAnsi="Arial" w:cs="Arial"/>
                <w:sz w:val="16"/>
                <w:szCs w:val="16"/>
              </w:rPr>
            </w:pPr>
            <w:r>
              <w:rPr>
                <w:rFonts w:ascii="Arial" w:hAnsi="Arial" w:cs="Arial"/>
                <w:sz w:val="16"/>
                <w:szCs w:val="16"/>
              </w:rPr>
              <w:t>N/A</w:t>
            </w:r>
          </w:p>
        </w:tc>
      </w:tr>
      <w:tr w:rsidR="00A67B90" w:rsidRPr="00C733C8" w14:paraId="2D01C095"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038F38EC" w14:textId="77777777" w:rsidR="00A67B90" w:rsidRPr="009C42C7" w:rsidRDefault="00A67B90" w:rsidP="00E439D8">
            <w:pPr>
              <w:rPr>
                <w:rFonts w:ascii="Arial" w:hAnsi="Arial" w:cs="Arial"/>
                <w:sz w:val="16"/>
                <w:szCs w:val="16"/>
              </w:rPr>
            </w:pPr>
            <w:r>
              <w:rPr>
                <w:rFonts w:ascii="Arial" w:hAnsi="Arial" w:cs="Arial"/>
                <w:sz w:val="16"/>
                <w:szCs w:val="16"/>
              </w:rPr>
              <w:t>Forestburg ISD</w:t>
            </w:r>
          </w:p>
        </w:tc>
        <w:tc>
          <w:tcPr>
            <w:tcW w:w="1260" w:type="dxa"/>
            <w:tcBorders>
              <w:top w:val="nil"/>
              <w:left w:val="nil"/>
              <w:bottom w:val="single" w:sz="4" w:space="0" w:color="auto"/>
              <w:right w:val="single" w:sz="8" w:space="0" w:color="auto"/>
            </w:tcBorders>
            <w:noWrap/>
            <w:vAlign w:val="center"/>
          </w:tcPr>
          <w:p w14:paraId="288777E6" w14:textId="2B69DFB5"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1</w:t>
            </w:r>
            <w:r>
              <w:rPr>
                <w:rFonts w:ascii="Arial" w:hAnsi="Arial" w:cs="Arial"/>
                <w:sz w:val="16"/>
                <w:szCs w:val="16"/>
              </w:rPr>
              <w:t>40,000</w:t>
            </w:r>
          </w:p>
        </w:tc>
        <w:tc>
          <w:tcPr>
            <w:tcW w:w="1440" w:type="dxa"/>
            <w:tcBorders>
              <w:top w:val="nil"/>
              <w:left w:val="nil"/>
              <w:bottom w:val="single" w:sz="4" w:space="0" w:color="auto"/>
              <w:right w:val="single" w:sz="8" w:space="0" w:color="auto"/>
            </w:tcBorders>
            <w:noWrap/>
            <w:vAlign w:val="center"/>
          </w:tcPr>
          <w:p w14:paraId="700F8BEF"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tcBorders>
              <w:top w:val="nil"/>
              <w:left w:val="nil"/>
              <w:bottom w:val="single" w:sz="4" w:space="0" w:color="auto"/>
              <w:right w:val="single" w:sz="8" w:space="0" w:color="auto"/>
            </w:tcBorders>
            <w:noWrap/>
            <w:vAlign w:val="center"/>
          </w:tcPr>
          <w:p w14:paraId="1F78352B" w14:textId="119B76F8"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6</w:t>
            </w:r>
            <w:r>
              <w:rPr>
                <w:rFonts w:ascii="Arial" w:hAnsi="Arial" w:cs="Arial"/>
                <w:sz w:val="16"/>
                <w:szCs w:val="16"/>
              </w:rPr>
              <w:t>0,000</w:t>
            </w:r>
          </w:p>
        </w:tc>
        <w:tc>
          <w:tcPr>
            <w:tcW w:w="1440" w:type="dxa"/>
            <w:gridSpan w:val="2"/>
            <w:tcBorders>
              <w:top w:val="nil"/>
              <w:left w:val="nil"/>
              <w:bottom w:val="single" w:sz="4" w:space="0" w:color="auto"/>
              <w:right w:val="single" w:sz="8" w:space="0" w:color="auto"/>
            </w:tcBorders>
            <w:noWrap/>
            <w:vAlign w:val="center"/>
          </w:tcPr>
          <w:p w14:paraId="619C6CB0"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2"/>
            <w:tcBorders>
              <w:top w:val="nil"/>
              <w:left w:val="nil"/>
              <w:bottom w:val="single" w:sz="4" w:space="0" w:color="auto"/>
              <w:right w:val="single" w:sz="8" w:space="0" w:color="auto"/>
            </w:tcBorders>
            <w:noWrap/>
            <w:vAlign w:val="center"/>
          </w:tcPr>
          <w:p w14:paraId="4902935F" w14:textId="0A0A15E0"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6</w:t>
            </w:r>
            <w:r>
              <w:rPr>
                <w:rFonts w:ascii="Arial" w:hAnsi="Arial" w:cs="Arial"/>
                <w:sz w:val="16"/>
                <w:szCs w:val="16"/>
              </w:rPr>
              <w:t>0,000</w:t>
            </w:r>
          </w:p>
        </w:tc>
        <w:tc>
          <w:tcPr>
            <w:tcW w:w="1980" w:type="dxa"/>
            <w:gridSpan w:val="4"/>
            <w:tcBorders>
              <w:top w:val="nil"/>
              <w:left w:val="nil"/>
              <w:bottom w:val="single" w:sz="4" w:space="0" w:color="auto"/>
              <w:right w:val="single" w:sz="8" w:space="0" w:color="auto"/>
            </w:tcBorders>
            <w:noWrap/>
            <w:vAlign w:val="center"/>
          </w:tcPr>
          <w:p w14:paraId="02DC91E3"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gridSpan w:val="3"/>
            <w:tcBorders>
              <w:top w:val="nil"/>
              <w:left w:val="nil"/>
              <w:bottom w:val="single" w:sz="4" w:space="0" w:color="auto"/>
              <w:right w:val="single" w:sz="8" w:space="0" w:color="auto"/>
            </w:tcBorders>
            <w:noWrap/>
            <w:vAlign w:val="center"/>
          </w:tcPr>
          <w:p w14:paraId="62D553EE" w14:textId="77777777" w:rsidR="00A67B90" w:rsidRPr="009C42C7" w:rsidRDefault="00A67B90" w:rsidP="00E439D8">
            <w:pPr>
              <w:rPr>
                <w:rFonts w:ascii="Arial" w:hAnsi="Arial" w:cs="Arial"/>
                <w:sz w:val="16"/>
                <w:szCs w:val="16"/>
              </w:rPr>
            </w:pPr>
            <w:proofErr w:type="gramStart"/>
            <w:r>
              <w:rPr>
                <w:rFonts w:ascii="Arial" w:hAnsi="Arial" w:cs="Arial"/>
                <w:sz w:val="16"/>
                <w:szCs w:val="16"/>
              </w:rPr>
              <w:t>.N</w:t>
            </w:r>
            <w:proofErr w:type="gramEnd"/>
            <w:r>
              <w:rPr>
                <w:rFonts w:ascii="Arial" w:hAnsi="Arial" w:cs="Arial"/>
                <w:sz w:val="16"/>
                <w:szCs w:val="16"/>
              </w:rPr>
              <w:t>/A</w:t>
            </w:r>
          </w:p>
        </w:tc>
      </w:tr>
      <w:tr w:rsidR="00A67B90" w:rsidRPr="00C733C8" w14:paraId="7F41CBC8" w14:textId="77777777" w:rsidTr="00E439D8">
        <w:trPr>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3745ECEB" w14:textId="77777777" w:rsidR="00A67B90" w:rsidRPr="009C42C7" w:rsidRDefault="00A67B90" w:rsidP="00E439D8">
            <w:pPr>
              <w:rPr>
                <w:rFonts w:ascii="Arial" w:hAnsi="Arial" w:cs="Arial"/>
                <w:sz w:val="16"/>
                <w:szCs w:val="16"/>
              </w:rPr>
            </w:pPr>
            <w:r>
              <w:rPr>
                <w:rFonts w:ascii="Arial" w:hAnsi="Arial" w:cs="Arial"/>
                <w:sz w:val="16"/>
                <w:szCs w:val="16"/>
              </w:rPr>
              <w:t>Gold-burg ISD</w:t>
            </w:r>
          </w:p>
        </w:tc>
        <w:tc>
          <w:tcPr>
            <w:tcW w:w="1260" w:type="dxa"/>
            <w:tcBorders>
              <w:top w:val="nil"/>
              <w:left w:val="nil"/>
              <w:bottom w:val="single" w:sz="4" w:space="0" w:color="auto"/>
              <w:right w:val="single" w:sz="8" w:space="0" w:color="auto"/>
            </w:tcBorders>
            <w:noWrap/>
            <w:vAlign w:val="center"/>
          </w:tcPr>
          <w:p w14:paraId="109ED694" w14:textId="3FF5D571"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1</w:t>
            </w:r>
            <w:r>
              <w:rPr>
                <w:rFonts w:ascii="Arial" w:hAnsi="Arial" w:cs="Arial"/>
                <w:sz w:val="16"/>
                <w:szCs w:val="16"/>
              </w:rPr>
              <w:t>40,000</w:t>
            </w:r>
          </w:p>
        </w:tc>
        <w:tc>
          <w:tcPr>
            <w:tcW w:w="1440" w:type="dxa"/>
            <w:tcBorders>
              <w:top w:val="nil"/>
              <w:left w:val="nil"/>
              <w:bottom w:val="single" w:sz="4" w:space="0" w:color="auto"/>
              <w:right w:val="single" w:sz="8" w:space="0" w:color="auto"/>
            </w:tcBorders>
            <w:noWrap/>
            <w:vAlign w:val="center"/>
          </w:tcPr>
          <w:p w14:paraId="389AB220"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tcBorders>
              <w:top w:val="nil"/>
              <w:left w:val="nil"/>
              <w:bottom w:val="single" w:sz="4" w:space="0" w:color="auto"/>
              <w:right w:val="single" w:sz="8" w:space="0" w:color="auto"/>
            </w:tcBorders>
            <w:noWrap/>
            <w:vAlign w:val="center"/>
          </w:tcPr>
          <w:p w14:paraId="21B03E9B" w14:textId="020160FD"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6</w:t>
            </w:r>
            <w:r>
              <w:rPr>
                <w:rFonts w:ascii="Arial" w:hAnsi="Arial" w:cs="Arial"/>
                <w:sz w:val="16"/>
                <w:szCs w:val="16"/>
              </w:rPr>
              <w:t>0</w:t>
            </w:r>
            <w:r w:rsidRPr="009C42C7">
              <w:rPr>
                <w:rFonts w:ascii="Arial" w:hAnsi="Arial" w:cs="Arial"/>
                <w:sz w:val="16"/>
                <w:szCs w:val="16"/>
              </w:rPr>
              <w:t>,000</w:t>
            </w:r>
          </w:p>
        </w:tc>
        <w:tc>
          <w:tcPr>
            <w:tcW w:w="1440" w:type="dxa"/>
            <w:gridSpan w:val="2"/>
            <w:tcBorders>
              <w:top w:val="nil"/>
              <w:left w:val="nil"/>
              <w:bottom w:val="single" w:sz="4" w:space="0" w:color="auto"/>
              <w:right w:val="single" w:sz="8" w:space="0" w:color="auto"/>
            </w:tcBorders>
            <w:noWrap/>
            <w:vAlign w:val="center"/>
          </w:tcPr>
          <w:p w14:paraId="015E9701"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980" w:type="dxa"/>
            <w:gridSpan w:val="2"/>
            <w:tcBorders>
              <w:top w:val="nil"/>
              <w:left w:val="nil"/>
              <w:bottom w:val="single" w:sz="4" w:space="0" w:color="auto"/>
              <w:right w:val="single" w:sz="8" w:space="0" w:color="auto"/>
            </w:tcBorders>
            <w:noWrap/>
            <w:vAlign w:val="center"/>
          </w:tcPr>
          <w:p w14:paraId="24D3BAE9" w14:textId="34376DDE" w:rsidR="00A67B90" w:rsidRPr="009C42C7" w:rsidRDefault="00A67B90" w:rsidP="00E439D8">
            <w:pPr>
              <w:rPr>
                <w:rFonts w:ascii="Arial" w:hAnsi="Arial" w:cs="Arial"/>
                <w:sz w:val="16"/>
                <w:szCs w:val="16"/>
              </w:rPr>
            </w:pPr>
            <w:r w:rsidRPr="009C42C7">
              <w:rPr>
                <w:rFonts w:ascii="Arial" w:hAnsi="Arial" w:cs="Arial"/>
                <w:sz w:val="16"/>
                <w:szCs w:val="16"/>
              </w:rPr>
              <w:t>$</w:t>
            </w:r>
            <w:r w:rsidR="00FC0011">
              <w:rPr>
                <w:rFonts w:ascii="Arial" w:hAnsi="Arial" w:cs="Arial"/>
                <w:sz w:val="16"/>
                <w:szCs w:val="16"/>
              </w:rPr>
              <w:t>6</w:t>
            </w:r>
            <w:r w:rsidRPr="009C42C7">
              <w:rPr>
                <w:rFonts w:ascii="Arial" w:hAnsi="Arial" w:cs="Arial"/>
                <w:sz w:val="16"/>
                <w:szCs w:val="16"/>
              </w:rPr>
              <w:t>0,000</w:t>
            </w:r>
          </w:p>
        </w:tc>
        <w:tc>
          <w:tcPr>
            <w:tcW w:w="1980" w:type="dxa"/>
            <w:gridSpan w:val="4"/>
            <w:tcBorders>
              <w:top w:val="nil"/>
              <w:left w:val="nil"/>
              <w:bottom w:val="single" w:sz="4" w:space="0" w:color="auto"/>
              <w:right w:val="single" w:sz="8" w:space="0" w:color="auto"/>
            </w:tcBorders>
            <w:noWrap/>
            <w:vAlign w:val="bottom"/>
          </w:tcPr>
          <w:p w14:paraId="69B6434D"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gridSpan w:val="3"/>
            <w:tcBorders>
              <w:top w:val="nil"/>
              <w:left w:val="nil"/>
              <w:bottom w:val="single" w:sz="4" w:space="0" w:color="auto"/>
              <w:right w:val="single" w:sz="8" w:space="0" w:color="auto"/>
            </w:tcBorders>
            <w:noWrap/>
            <w:vAlign w:val="bottom"/>
          </w:tcPr>
          <w:p w14:paraId="1040D155"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3387" w:type="dxa"/>
            <w:gridSpan w:val="3"/>
            <w:vAlign w:val="bottom"/>
          </w:tcPr>
          <w:p w14:paraId="21AB5856" w14:textId="77777777" w:rsidR="00A67B90" w:rsidRPr="009C42C7" w:rsidRDefault="00A67B90" w:rsidP="00E439D8">
            <w:pPr>
              <w:rPr>
                <w:rFonts w:ascii="Arial" w:hAnsi="Arial" w:cs="Arial"/>
                <w:sz w:val="16"/>
                <w:szCs w:val="16"/>
              </w:rPr>
            </w:pPr>
          </w:p>
        </w:tc>
        <w:tc>
          <w:tcPr>
            <w:tcW w:w="1775" w:type="dxa"/>
            <w:vAlign w:val="bottom"/>
          </w:tcPr>
          <w:p w14:paraId="4568A665" w14:textId="77777777" w:rsidR="00A67B90" w:rsidRPr="009C42C7" w:rsidRDefault="00A67B90" w:rsidP="00E439D8">
            <w:pPr>
              <w:rPr>
                <w:rFonts w:ascii="Arial" w:hAnsi="Arial" w:cs="Arial"/>
                <w:sz w:val="16"/>
                <w:szCs w:val="16"/>
              </w:rPr>
            </w:pPr>
          </w:p>
        </w:tc>
        <w:tc>
          <w:tcPr>
            <w:tcW w:w="1775" w:type="dxa"/>
            <w:vAlign w:val="bottom"/>
          </w:tcPr>
          <w:p w14:paraId="5AC451A6" w14:textId="77777777" w:rsidR="00A67B90" w:rsidRPr="009C42C7" w:rsidRDefault="00A67B90" w:rsidP="00E439D8">
            <w:pPr>
              <w:rPr>
                <w:rFonts w:ascii="Arial" w:hAnsi="Arial" w:cs="Arial"/>
                <w:sz w:val="16"/>
                <w:szCs w:val="16"/>
              </w:rPr>
            </w:pPr>
          </w:p>
        </w:tc>
        <w:tc>
          <w:tcPr>
            <w:tcW w:w="1775" w:type="dxa"/>
            <w:vAlign w:val="bottom"/>
          </w:tcPr>
          <w:p w14:paraId="387D28CB" w14:textId="77777777" w:rsidR="00A67B90" w:rsidRPr="009C42C7" w:rsidRDefault="00A67B90" w:rsidP="00E439D8">
            <w:pPr>
              <w:ind w:left="-1008" w:firstLine="1008"/>
              <w:rPr>
                <w:rFonts w:ascii="Arial" w:hAnsi="Arial" w:cs="Arial"/>
                <w:sz w:val="16"/>
                <w:szCs w:val="16"/>
              </w:rPr>
            </w:pPr>
          </w:p>
        </w:tc>
        <w:tc>
          <w:tcPr>
            <w:tcW w:w="1775" w:type="dxa"/>
            <w:vAlign w:val="bottom"/>
          </w:tcPr>
          <w:p w14:paraId="3492C545" w14:textId="77777777" w:rsidR="00A67B90" w:rsidRPr="009C42C7" w:rsidRDefault="00A67B90" w:rsidP="00E439D8">
            <w:pPr>
              <w:rPr>
                <w:rFonts w:ascii="Arial" w:hAnsi="Arial" w:cs="Arial"/>
                <w:sz w:val="16"/>
                <w:szCs w:val="16"/>
              </w:rPr>
            </w:pPr>
          </w:p>
        </w:tc>
        <w:tc>
          <w:tcPr>
            <w:tcW w:w="1775" w:type="dxa"/>
            <w:vAlign w:val="bottom"/>
          </w:tcPr>
          <w:p w14:paraId="7DA6B384" w14:textId="77777777" w:rsidR="00A67B90" w:rsidRPr="009C42C7" w:rsidRDefault="00A67B90" w:rsidP="00E439D8">
            <w:pPr>
              <w:rPr>
                <w:rFonts w:ascii="Arial" w:hAnsi="Arial" w:cs="Arial"/>
                <w:sz w:val="16"/>
                <w:szCs w:val="16"/>
              </w:rPr>
            </w:pPr>
          </w:p>
        </w:tc>
      </w:tr>
      <w:tr w:rsidR="00A67B90" w:rsidRPr="00C733C8" w14:paraId="7D8FBEC3"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1A33A92D" w14:textId="77777777" w:rsidR="00A67B90" w:rsidRPr="009C42C7" w:rsidRDefault="00A67B90" w:rsidP="00E439D8">
            <w:pPr>
              <w:rPr>
                <w:rFonts w:ascii="Arial" w:hAnsi="Arial" w:cs="Arial"/>
                <w:sz w:val="16"/>
                <w:szCs w:val="16"/>
              </w:rPr>
            </w:pPr>
            <w:r>
              <w:rPr>
                <w:rFonts w:ascii="Arial" w:hAnsi="Arial" w:cs="Arial"/>
                <w:sz w:val="16"/>
                <w:szCs w:val="16"/>
              </w:rPr>
              <w:t>Montague ISD</w:t>
            </w:r>
          </w:p>
        </w:tc>
        <w:tc>
          <w:tcPr>
            <w:tcW w:w="1260" w:type="dxa"/>
            <w:tcBorders>
              <w:top w:val="nil"/>
              <w:left w:val="nil"/>
              <w:bottom w:val="single" w:sz="4" w:space="0" w:color="auto"/>
              <w:right w:val="single" w:sz="8" w:space="0" w:color="auto"/>
            </w:tcBorders>
            <w:noWrap/>
            <w:vAlign w:val="center"/>
          </w:tcPr>
          <w:p w14:paraId="4AEDDE04" w14:textId="4D7EB24F"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1</w:t>
            </w:r>
            <w:r>
              <w:rPr>
                <w:rFonts w:ascii="Arial" w:hAnsi="Arial" w:cs="Arial"/>
                <w:sz w:val="16"/>
                <w:szCs w:val="16"/>
              </w:rPr>
              <w:t>40,000</w:t>
            </w:r>
          </w:p>
        </w:tc>
        <w:tc>
          <w:tcPr>
            <w:tcW w:w="1440" w:type="dxa"/>
            <w:tcBorders>
              <w:top w:val="nil"/>
              <w:left w:val="nil"/>
              <w:bottom w:val="single" w:sz="4" w:space="0" w:color="auto"/>
              <w:right w:val="single" w:sz="8" w:space="0" w:color="auto"/>
            </w:tcBorders>
            <w:noWrap/>
            <w:vAlign w:val="center"/>
          </w:tcPr>
          <w:p w14:paraId="226B21E9"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tcBorders>
              <w:top w:val="nil"/>
              <w:left w:val="nil"/>
              <w:bottom w:val="single" w:sz="4" w:space="0" w:color="auto"/>
              <w:right w:val="single" w:sz="8" w:space="0" w:color="auto"/>
            </w:tcBorders>
            <w:noWrap/>
            <w:vAlign w:val="center"/>
          </w:tcPr>
          <w:p w14:paraId="0300B50D" w14:textId="4C49EB46"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6</w:t>
            </w:r>
            <w:r>
              <w:rPr>
                <w:rFonts w:ascii="Arial" w:hAnsi="Arial" w:cs="Arial"/>
                <w:sz w:val="16"/>
                <w:szCs w:val="16"/>
              </w:rPr>
              <w:t>0,000</w:t>
            </w:r>
          </w:p>
        </w:tc>
        <w:tc>
          <w:tcPr>
            <w:tcW w:w="1440" w:type="dxa"/>
            <w:gridSpan w:val="2"/>
            <w:tcBorders>
              <w:top w:val="nil"/>
              <w:left w:val="nil"/>
              <w:bottom w:val="single" w:sz="4" w:space="0" w:color="auto"/>
              <w:right w:val="single" w:sz="8" w:space="0" w:color="auto"/>
            </w:tcBorders>
            <w:noWrap/>
            <w:vAlign w:val="center"/>
          </w:tcPr>
          <w:p w14:paraId="4D2E5930"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2"/>
            <w:tcBorders>
              <w:top w:val="nil"/>
              <w:left w:val="nil"/>
              <w:bottom w:val="single" w:sz="4" w:space="0" w:color="auto"/>
              <w:right w:val="single" w:sz="8" w:space="0" w:color="auto"/>
            </w:tcBorders>
            <w:noWrap/>
            <w:vAlign w:val="center"/>
          </w:tcPr>
          <w:p w14:paraId="06205964" w14:textId="35D39473"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6</w:t>
            </w:r>
            <w:r>
              <w:rPr>
                <w:rFonts w:ascii="Arial" w:hAnsi="Arial" w:cs="Arial"/>
                <w:sz w:val="16"/>
                <w:szCs w:val="16"/>
              </w:rPr>
              <w:t>0,000</w:t>
            </w:r>
          </w:p>
        </w:tc>
        <w:tc>
          <w:tcPr>
            <w:tcW w:w="1980" w:type="dxa"/>
            <w:gridSpan w:val="4"/>
            <w:tcBorders>
              <w:top w:val="nil"/>
              <w:left w:val="nil"/>
              <w:bottom w:val="single" w:sz="4" w:space="0" w:color="auto"/>
              <w:right w:val="single" w:sz="8" w:space="0" w:color="auto"/>
            </w:tcBorders>
            <w:noWrap/>
            <w:vAlign w:val="center"/>
          </w:tcPr>
          <w:p w14:paraId="2211F85E"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gridSpan w:val="3"/>
            <w:tcBorders>
              <w:top w:val="nil"/>
              <w:left w:val="nil"/>
              <w:bottom w:val="single" w:sz="4" w:space="0" w:color="auto"/>
              <w:right w:val="single" w:sz="8" w:space="0" w:color="auto"/>
            </w:tcBorders>
            <w:noWrap/>
            <w:vAlign w:val="center"/>
          </w:tcPr>
          <w:p w14:paraId="2671F9FA"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r>
      <w:tr w:rsidR="00A67B90" w:rsidRPr="00C733C8" w14:paraId="5A1C5811"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0E9641F8" w14:textId="77777777" w:rsidR="00A67B90" w:rsidRPr="009C42C7" w:rsidRDefault="00A67B90" w:rsidP="00E439D8">
            <w:pPr>
              <w:rPr>
                <w:rFonts w:ascii="Arial" w:hAnsi="Arial" w:cs="Arial"/>
                <w:sz w:val="16"/>
                <w:szCs w:val="16"/>
              </w:rPr>
            </w:pPr>
            <w:r>
              <w:rPr>
                <w:rFonts w:ascii="Arial" w:hAnsi="Arial" w:cs="Arial"/>
                <w:sz w:val="16"/>
                <w:szCs w:val="16"/>
              </w:rPr>
              <w:t>Nocona</w:t>
            </w:r>
            <w:r w:rsidRPr="009C42C7">
              <w:rPr>
                <w:rFonts w:ascii="Arial" w:hAnsi="Arial" w:cs="Arial"/>
                <w:sz w:val="16"/>
                <w:szCs w:val="16"/>
              </w:rPr>
              <w:t xml:space="preserve"> ISD</w:t>
            </w:r>
          </w:p>
        </w:tc>
        <w:tc>
          <w:tcPr>
            <w:tcW w:w="1260" w:type="dxa"/>
            <w:tcBorders>
              <w:top w:val="nil"/>
              <w:left w:val="nil"/>
              <w:bottom w:val="single" w:sz="4" w:space="0" w:color="auto"/>
              <w:right w:val="single" w:sz="8" w:space="0" w:color="auto"/>
            </w:tcBorders>
            <w:noWrap/>
            <w:vAlign w:val="center"/>
          </w:tcPr>
          <w:p w14:paraId="356D75C6" w14:textId="548BE4A6"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1</w:t>
            </w:r>
            <w:r>
              <w:rPr>
                <w:rFonts w:ascii="Arial" w:hAnsi="Arial" w:cs="Arial"/>
                <w:sz w:val="16"/>
                <w:szCs w:val="16"/>
              </w:rPr>
              <w:t>40</w:t>
            </w:r>
            <w:r w:rsidRPr="009C42C7">
              <w:rPr>
                <w:rFonts w:ascii="Arial" w:hAnsi="Arial" w:cs="Arial"/>
                <w:sz w:val="16"/>
                <w:szCs w:val="16"/>
              </w:rPr>
              <w:t>,000</w:t>
            </w:r>
          </w:p>
        </w:tc>
        <w:tc>
          <w:tcPr>
            <w:tcW w:w="1440" w:type="dxa"/>
            <w:tcBorders>
              <w:top w:val="nil"/>
              <w:left w:val="nil"/>
              <w:bottom w:val="single" w:sz="4" w:space="0" w:color="auto"/>
              <w:right w:val="single" w:sz="8" w:space="0" w:color="auto"/>
            </w:tcBorders>
            <w:noWrap/>
            <w:vAlign w:val="center"/>
          </w:tcPr>
          <w:p w14:paraId="434C0CFD"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tcBorders>
              <w:top w:val="nil"/>
              <w:left w:val="nil"/>
              <w:bottom w:val="single" w:sz="4" w:space="0" w:color="auto"/>
              <w:right w:val="single" w:sz="8" w:space="0" w:color="auto"/>
            </w:tcBorders>
            <w:noWrap/>
            <w:vAlign w:val="center"/>
          </w:tcPr>
          <w:p w14:paraId="579B1A81" w14:textId="5A0AF65B" w:rsidR="00A67B90" w:rsidRPr="009C42C7" w:rsidRDefault="00A67B90" w:rsidP="00E439D8">
            <w:pPr>
              <w:rPr>
                <w:rFonts w:ascii="Arial" w:hAnsi="Arial" w:cs="Arial"/>
                <w:sz w:val="16"/>
                <w:szCs w:val="16"/>
              </w:rPr>
            </w:pPr>
            <w:r w:rsidRPr="009C42C7">
              <w:rPr>
                <w:rFonts w:ascii="Arial" w:hAnsi="Arial" w:cs="Arial"/>
                <w:sz w:val="16"/>
                <w:szCs w:val="16"/>
              </w:rPr>
              <w:t>$</w:t>
            </w:r>
            <w:r w:rsidR="00FC0011">
              <w:rPr>
                <w:rFonts w:ascii="Arial" w:hAnsi="Arial" w:cs="Arial"/>
                <w:sz w:val="16"/>
                <w:szCs w:val="16"/>
              </w:rPr>
              <w:t>6</w:t>
            </w:r>
            <w:r w:rsidRPr="009C42C7">
              <w:rPr>
                <w:rFonts w:ascii="Arial" w:hAnsi="Arial" w:cs="Arial"/>
                <w:sz w:val="16"/>
                <w:szCs w:val="16"/>
              </w:rPr>
              <w:t>0,000</w:t>
            </w:r>
          </w:p>
        </w:tc>
        <w:tc>
          <w:tcPr>
            <w:tcW w:w="1440" w:type="dxa"/>
            <w:gridSpan w:val="2"/>
            <w:tcBorders>
              <w:top w:val="nil"/>
              <w:left w:val="nil"/>
              <w:bottom w:val="single" w:sz="4" w:space="0" w:color="auto"/>
              <w:right w:val="single" w:sz="8" w:space="0" w:color="auto"/>
            </w:tcBorders>
            <w:noWrap/>
            <w:vAlign w:val="center"/>
          </w:tcPr>
          <w:p w14:paraId="7454A379"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980" w:type="dxa"/>
            <w:gridSpan w:val="2"/>
            <w:tcBorders>
              <w:top w:val="nil"/>
              <w:left w:val="nil"/>
              <w:bottom w:val="single" w:sz="4" w:space="0" w:color="auto"/>
              <w:right w:val="single" w:sz="8" w:space="0" w:color="auto"/>
            </w:tcBorders>
            <w:noWrap/>
            <w:vAlign w:val="center"/>
          </w:tcPr>
          <w:p w14:paraId="6E104646" w14:textId="3891A2A8" w:rsidR="00A67B90" w:rsidRPr="009C42C7" w:rsidRDefault="00A67B90" w:rsidP="00E439D8">
            <w:pPr>
              <w:rPr>
                <w:rFonts w:ascii="Arial" w:hAnsi="Arial" w:cs="Arial"/>
                <w:sz w:val="16"/>
                <w:szCs w:val="16"/>
              </w:rPr>
            </w:pPr>
            <w:r w:rsidRPr="009C42C7">
              <w:rPr>
                <w:rFonts w:ascii="Arial" w:hAnsi="Arial" w:cs="Arial"/>
                <w:sz w:val="16"/>
                <w:szCs w:val="16"/>
              </w:rPr>
              <w:t>$</w:t>
            </w:r>
            <w:r w:rsidR="00FC0011">
              <w:rPr>
                <w:rFonts w:ascii="Arial" w:hAnsi="Arial" w:cs="Arial"/>
                <w:sz w:val="16"/>
                <w:szCs w:val="16"/>
              </w:rPr>
              <w:t>6</w:t>
            </w:r>
            <w:r w:rsidRPr="009C42C7">
              <w:rPr>
                <w:rFonts w:ascii="Arial" w:hAnsi="Arial" w:cs="Arial"/>
                <w:sz w:val="16"/>
                <w:szCs w:val="16"/>
              </w:rPr>
              <w:t>0,000</w:t>
            </w:r>
          </w:p>
        </w:tc>
        <w:tc>
          <w:tcPr>
            <w:tcW w:w="1980" w:type="dxa"/>
            <w:gridSpan w:val="4"/>
            <w:tcBorders>
              <w:top w:val="nil"/>
              <w:left w:val="nil"/>
              <w:bottom w:val="single" w:sz="4" w:space="0" w:color="auto"/>
              <w:right w:val="single" w:sz="8" w:space="0" w:color="auto"/>
            </w:tcBorders>
            <w:noWrap/>
            <w:vAlign w:val="center"/>
          </w:tcPr>
          <w:p w14:paraId="0164EC3C"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gridSpan w:val="3"/>
            <w:tcBorders>
              <w:top w:val="nil"/>
              <w:left w:val="nil"/>
              <w:bottom w:val="single" w:sz="4" w:space="0" w:color="auto"/>
              <w:right w:val="single" w:sz="8" w:space="0" w:color="auto"/>
            </w:tcBorders>
            <w:noWrap/>
            <w:vAlign w:val="center"/>
          </w:tcPr>
          <w:p w14:paraId="17C77691"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r>
      <w:tr w:rsidR="00A67B90" w:rsidRPr="00C733C8" w14:paraId="3DA4AE21"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0C6B5CC8" w14:textId="00A8532F" w:rsidR="00A67B90" w:rsidRPr="009C42C7" w:rsidRDefault="00A67B90" w:rsidP="00E439D8">
            <w:pPr>
              <w:rPr>
                <w:rFonts w:ascii="Arial" w:hAnsi="Arial" w:cs="Arial"/>
                <w:sz w:val="16"/>
                <w:szCs w:val="16"/>
              </w:rPr>
            </w:pPr>
            <w:r>
              <w:rPr>
                <w:rFonts w:ascii="Arial" w:hAnsi="Arial" w:cs="Arial"/>
                <w:sz w:val="16"/>
                <w:szCs w:val="16"/>
              </w:rPr>
              <w:t>Prairie</w:t>
            </w:r>
            <w:r w:rsidR="00FC0011">
              <w:rPr>
                <w:rFonts w:ascii="Arial" w:hAnsi="Arial" w:cs="Arial"/>
                <w:sz w:val="16"/>
                <w:szCs w:val="16"/>
              </w:rPr>
              <w:t xml:space="preserve"> Valley </w:t>
            </w:r>
            <w:r w:rsidRPr="009C42C7">
              <w:rPr>
                <w:rFonts w:ascii="Arial" w:hAnsi="Arial" w:cs="Arial"/>
                <w:sz w:val="16"/>
                <w:szCs w:val="16"/>
              </w:rPr>
              <w:t>ISD</w:t>
            </w:r>
          </w:p>
        </w:tc>
        <w:tc>
          <w:tcPr>
            <w:tcW w:w="1260" w:type="dxa"/>
            <w:tcBorders>
              <w:top w:val="nil"/>
              <w:left w:val="nil"/>
              <w:bottom w:val="single" w:sz="4" w:space="0" w:color="auto"/>
              <w:right w:val="single" w:sz="8" w:space="0" w:color="auto"/>
            </w:tcBorders>
            <w:noWrap/>
            <w:vAlign w:val="center"/>
          </w:tcPr>
          <w:p w14:paraId="0DD3234D" w14:textId="4619D0B0" w:rsidR="00A67B90" w:rsidRPr="009C42C7" w:rsidRDefault="00A67B90" w:rsidP="00E439D8">
            <w:pPr>
              <w:rPr>
                <w:rFonts w:ascii="Arial" w:hAnsi="Arial" w:cs="Arial"/>
                <w:sz w:val="16"/>
                <w:szCs w:val="16"/>
              </w:rPr>
            </w:pPr>
            <w:r>
              <w:rPr>
                <w:rFonts w:ascii="Arial" w:hAnsi="Arial" w:cs="Arial"/>
                <w:sz w:val="16"/>
                <w:szCs w:val="16"/>
              </w:rPr>
              <w:t>$</w:t>
            </w:r>
            <w:r w:rsidR="00FC0011">
              <w:rPr>
                <w:rFonts w:ascii="Arial" w:hAnsi="Arial" w:cs="Arial"/>
                <w:sz w:val="16"/>
                <w:szCs w:val="16"/>
              </w:rPr>
              <w:t>1</w:t>
            </w:r>
            <w:r>
              <w:rPr>
                <w:rFonts w:ascii="Arial" w:hAnsi="Arial" w:cs="Arial"/>
                <w:sz w:val="16"/>
                <w:szCs w:val="16"/>
              </w:rPr>
              <w:t>40</w:t>
            </w:r>
            <w:r w:rsidRPr="009C42C7">
              <w:rPr>
                <w:rFonts w:ascii="Arial" w:hAnsi="Arial" w:cs="Arial"/>
                <w:sz w:val="16"/>
                <w:szCs w:val="16"/>
              </w:rPr>
              <w:t>,000</w:t>
            </w:r>
          </w:p>
        </w:tc>
        <w:tc>
          <w:tcPr>
            <w:tcW w:w="1440" w:type="dxa"/>
            <w:tcBorders>
              <w:top w:val="nil"/>
              <w:left w:val="nil"/>
              <w:bottom w:val="single" w:sz="4" w:space="0" w:color="auto"/>
              <w:right w:val="single" w:sz="8" w:space="0" w:color="auto"/>
            </w:tcBorders>
            <w:noWrap/>
            <w:vAlign w:val="center"/>
          </w:tcPr>
          <w:p w14:paraId="77FDEEC0"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tcBorders>
              <w:top w:val="nil"/>
              <w:left w:val="nil"/>
              <w:bottom w:val="single" w:sz="4" w:space="0" w:color="auto"/>
              <w:right w:val="single" w:sz="8" w:space="0" w:color="auto"/>
            </w:tcBorders>
            <w:noWrap/>
            <w:vAlign w:val="center"/>
          </w:tcPr>
          <w:p w14:paraId="63BD3B47" w14:textId="11226695" w:rsidR="00A67B90" w:rsidRPr="009C42C7" w:rsidRDefault="00A67B90" w:rsidP="00E439D8">
            <w:pPr>
              <w:rPr>
                <w:rFonts w:ascii="Arial" w:hAnsi="Arial" w:cs="Arial"/>
                <w:sz w:val="16"/>
                <w:szCs w:val="16"/>
              </w:rPr>
            </w:pPr>
            <w:r w:rsidRPr="009C42C7">
              <w:rPr>
                <w:rFonts w:ascii="Arial" w:hAnsi="Arial" w:cs="Arial"/>
                <w:sz w:val="16"/>
                <w:szCs w:val="16"/>
              </w:rPr>
              <w:t>$</w:t>
            </w:r>
            <w:r w:rsidR="00FC0011">
              <w:rPr>
                <w:rFonts w:ascii="Arial" w:hAnsi="Arial" w:cs="Arial"/>
                <w:sz w:val="16"/>
                <w:szCs w:val="16"/>
              </w:rPr>
              <w:t>6</w:t>
            </w:r>
            <w:r w:rsidRPr="009C42C7">
              <w:rPr>
                <w:rFonts w:ascii="Arial" w:hAnsi="Arial" w:cs="Arial"/>
                <w:sz w:val="16"/>
                <w:szCs w:val="16"/>
              </w:rPr>
              <w:t>0,000</w:t>
            </w:r>
          </w:p>
        </w:tc>
        <w:tc>
          <w:tcPr>
            <w:tcW w:w="1440" w:type="dxa"/>
            <w:gridSpan w:val="2"/>
            <w:tcBorders>
              <w:top w:val="nil"/>
              <w:left w:val="nil"/>
              <w:bottom w:val="single" w:sz="4" w:space="0" w:color="auto"/>
              <w:right w:val="single" w:sz="8" w:space="0" w:color="auto"/>
            </w:tcBorders>
            <w:noWrap/>
            <w:vAlign w:val="center"/>
          </w:tcPr>
          <w:p w14:paraId="6D97F2A0"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980" w:type="dxa"/>
            <w:gridSpan w:val="2"/>
            <w:tcBorders>
              <w:top w:val="nil"/>
              <w:left w:val="nil"/>
              <w:bottom w:val="single" w:sz="4" w:space="0" w:color="auto"/>
              <w:right w:val="single" w:sz="8" w:space="0" w:color="auto"/>
            </w:tcBorders>
            <w:noWrap/>
            <w:vAlign w:val="center"/>
          </w:tcPr>
          <w:p w14:paraId="7943CA2D" w14:textId="2098E60E" w:rsidR="00A67B90" w:rsidRPr="009C42C7" w:rsidRDefault="00A67B90" w:rsidP="00E439D8">
            <w:pPr>
              <w:rPr>
                <w:rFonts w:ascii="Arial" w:hAnsi="Arial" w:cs="Arial"/>
                <w:sz w:val="16"/>
                <w:szCs w:val="16"/>
              </w:rPr>
            </w:pPr>
            <w:r w:rsidRPr="009C42C7">
              <w:rPr>
                <w:rFonts w:ascii="Arial" w:hAnsi="Arial" w:cs="Arial"/>
                <w:sz w:val="16"/>
                <w:szCs w:val="16"/>
              </w:rPr>
              <w:t>$</w:t>
            </w:r>
            <w:r w:rsidR="00FC0011">
              <w:rPr>
                <w:rFonts w:ascii="Arial" w:hAnsi="Arial" w:cs="Arial"/>
                <w:sz w:val="16"/>
                <w:szCs w:val="16"/>
              </w:rPr>
              <w:t>6</w:t>
            </w:r>
            <w:r w:rsidRPr="009C42C7">
              <w:rPr>
                <w:rFonts w:ascii="Arial" w:hAnsi="Arial" w:cs="Arial"/>
                <w:sz w:val="16"/>
                <w:szCs w:val="16"/>
              </w:rPr>
              <w:t>0,000</w:t>
            </w:r>
          </w:p>
        </w:tc>
        <w:tc>
          <w:tcPr>
            <w:tcW w:w="1980" w:type="dxa"/>
            <w:gridSpan w:val="4"/>
            <w:tcBorders>
              <w:top w:val="nil"/>
              <w:left w:val="nil"/>
              <w:bottom w:val="single" w:sz="4" w:space="0" w:color="auto"/>
              <w:right w:val="single" w:sz="8" w:space="0" w:color="auto"/>
            </w:tcBorders>
            <w:noWrap/>
            <w:vAlign w:val="center"/>
          </w:tcPr>
          <w:p w14:paraId="38B00979"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gridSpan w:val="3"/>
            <w:tcBorders>
              <w:top w:val="nil"/>
              <w:left w:val="nil"/>
              <w:bottom w:val="single" w:sz="4" w:space="0" w:color="auto"/>
              <w:right w:val="single" w:sz="8" w:space="0" w:color="auto"/>
            </w:tcBorders>
            <w:noWrap/>
            <w:vAlign w:val="center"/>
          </w:tcPr>
          <w:p w14:paraId="54683ACD" w14:textId="77777777" w:rsidR="00A67B90" w:rsidRPr="009C42C7" w:rsidRDefault="00A67B90" w:rsidP="00E439D8">
            <w:pPr>
              <w:rPr>
                <w:rFonts w:ascii="Arial" w:hAnsi="Arial" w:cs="Arial"/>
                <w:sz w:val="16"/>
                <w:szCs w:val="16"/>
              </w:rPr>
            </w:pPr>
            <w:proofErr w:type="gramStart"/>
            <w:r>
              <w:rPr>
                <w:rFonts w:ascii="Arial" w:hAnsi="Arial" w:cs="Arial"/>
                <w:sz w:val="16"/>
                <w:szCs w:val="16"/>
              </w:rPr>
              <w:t>.N</w:t>
            </w:r>
            <w:proofErr w:type="gramEnd"/>
            <w:r>
              <w:rPr>
                <w:rFonts w:ascii="Arial" w:hAnsi="Arial" w:cs="Arial"/>
                <w:sz w:val="16"/>
                <w:szCs w:val="16"/>
              </w:rPr>
              <w:t>/A</w:t>
            </w:r>
          </w:p>
        </w:tc>
      </w:tr>
      <w:tr w:rsidR="00A67B90" w:rsidRPr="00C733C8" w14:paraId="7DFBB203"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71B8F1CA" w14:textId="77777777" w:rsidR="00A67B90" w:rsidRPr="009C42C7" w:rsidRDefault="00A67B90" w:rsidP="00E439D8">
            <w:pPr>
              <w:rPr>
                <w:rFonts w:ascii="Arial" w:hAnsi="Arial" w:cs="Arial"/>
                <w:sz w:val="16"/>
                <w:szCs w:val="16"/>
              </w:rPr>
            </w:pPr>
            <w:r>
              <w:rPr>
                <w:rFonts w:ascii="Arial" w:hAnsi="Arial" w:cs="Arial"/>
                <w:sz w:val="16"/>
                <w:szCs w:val="16"/>
              </w:rPr>
              <w:t>Saint Jo</w:t>
            </w:r>
            <w:r w:rsidRPr="009C42C7">
              <w:rPr>
                <w:rFonts w:ascii="Arial" w:hAnsi="Arial" w:cs="Arial"/>
                <w:sz w:val="16"/>
                <w:szCs w:val="16"/>
              </w:rPr>
              <w:t xml:space="preserve"> ISD</w:t>
            </w:r>
          </w:p>
        </w:tc>
        <w:tc>
          <w:tcPr>
            <w:tcW w:w="1260" w:type="dxa"/>
            <w:tcBorders>
              <w:top w:val="nil"/>
              <w:left w:val="nil"/>
              <w:bottom w:val="single" w:sz="4" w:space="0" w:color="auto"/>
              <w:right w:val="single" w:sz="8" w:space="0" w:color="auto"/>
            </w:tcBorders>
            <w:noWrap/>
            <w:vAlign w:val="center"/>
          </w:tcPr>
          <w:p w14:paraId="5F20CF5D" w14:textId="2BBF8FAA" w:rsidR="00A67B90" w:rsidRPr="009C42C7" w:rsidRDefault="00A67B90" w:rsidP="00E439D8">
            <w:pPr>
              <w:rPr>
                <w:rFonts w:ascii="Arial" w:hAnsi="Arial" w:cs="Arial"/>
                <w:sz w:val="16"/>
                <w:szCs w:val="16"/>
              </w:rPr>
            </w:pPr>
            <w:r>
              <w:rPr>
                <w:rFonts w:ascii="Arial" w:hAnsi="Arial" w:cs="Arial"/>
                <w:sz w:val="16"/>
                <w:szCs w:val="16"/>
              </w:rPr>
              <w:t>$</w:t>
            </w:r>
            <w:r w:rsidR="009B224D">
              <w:rPr>
                <w:rFonts w:ascii="Arial" w:hAnsi="Arial" w:cs="Arial"/>
                <w:sz w:val="16"/>
                <w:szCs w:val="16"/>
              </w:rPr>
              <w:t>1</w:t>
            </w:r>
            <w:r>
              <w:rPr>
                <w:rFonts w:ascii="Arial" w:hAnsi="Arial" w:cs="Arial"/>
                <w:sz w:val="16"/>
                <w:szCs w:val="16"/>
              </w:rPr>
              <w:t>40</w:t>
            </w:r>
            <w:r w:rsidRPr="009C42C7">
              <w:rPr>
                <w:rFonts w:ascii="Arial" w:hAnsi="Arial" w:cs="Arial"/>
                <w:sz w:val="16"/>
                <w:szCs w:val="16"/>
              </w:rPr>
              <w:t>,000</w:t>
            </w:r>
          </w:p>
        </w:tc>
        <w:tc>
          <w:tcPr>
            <w:tcW w:w="1440" w:type="dxa"/>
            <w:tcBorders>
              <w:top w:val="nil"/>
              <w:left w:val="nil"/>
              <w:bottom w:val="single" w:sz="4" w:space="0" w:color="auto"/>
              <w:right w:val="single" w:sz="8" w:space="0" w:color="auto"/>
            </w:tcBorders>
            <w:noWrap/>
            <w:vAlign w:val="center"/>
          </w:tcPr>
          <w:p w14:paraId="08BFFBBB"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tcBorders>
              <w:top w:val="nil"/>
              <w:left w:val="nil"/>
              <w:bottom w:val="single" w:sz="4" w:space="0" w:color="auto"/>
              <w:right w:val="single" w:sz="8" w:space="0" w:color="auto"/>
            </w:tcBorders>
            <w:noWrap/>
            <w:vAlign w:val="center"/>
          </w:tcPr>
          <w:p w14:paraId="4828D959" w14:textId="1D5F6426" w:rsidR="00A67B90" w:rsidRPr="009C42C7" w:rsidRDefault="00A67B90" w:rsidP="00E439D8">
            <w:pPr>
              <w:rPr>
                <w:rFonts w:ascii="Arial" w:hAnsi="Arial" w:cs="Arial"/>
                <w:sz w:val="16"/>
                <w:szCs w:val="16"/>
              </w:rPr>
            </w:pPr>
            <w:r w:rsidRPr="009C42C7">
              <w:rPr>
                <w:rFonts w:ascii="Arial" w:hAnsi="Arial" w:cs="Arial"/>
                <w:sz w:val="16"/>
                <w:szCs w:val="16"/>
              </w:rPr>
              <w:t>$</w:t>
            </w:r>
            <w:r w:rsidR="009B224D">
              <w:rPr>
                <w:rFonts w:ascii="Arial" w:hAnsi="Arial" w:cs="Arial"/>
                <w:sz w:val="16"/>
                <w:szCs w:val="16"/>
              </w:rPr>
              <w:t>6</w:t>
            </w:r>
            <w:r w:rsidRPr="009C42C7">
              <w:rPr>
                <w:rFonts w:ascii="Arial" w:hAnsi="Arial" w:cs="Arial"/>
                <w:sz w:val="16"/>
                <w:szCs w:val="16"/>
              </w:rPr>
              <w:t>0,000</w:t>
            </w:r>
          </w:p>
        </w:tc>
        <w:tc>
          <w:tcPr>
            <w:tcW w:w="1440" w:type="dxa"/>
            <w:gridSpan w:val="2"/>
            <w:tcBorders>
              <w:top w:val="nil"/>
              <w:left w:val="nil"/>
              <w:bottom w:val="single" w:sz="4" w:space="0" w:color="auto"/>
              <w:right w:val="single" w:sz="8" w:space="0" w:color="auto"/>
            </w:tcBorders>
            <w:noWrap/>
            <w:vAlign w:val="center"/>
          </w:tcPr>
          <w:p w14:paraId="62270FCF"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2"/>
            <w:tcBorders>
              <w:top w:val="nil"/>
              <w:left w:val="nil"/>
              <w:bottom w:val="single" w:sz="4" w:space="0" w:color="auto"/>
              <w:right w:val="single" w:sz="8" w:space="0" w:color="auto"/>
            </w:tcBorders>
            <w:noWrap/>
            <w:vAlign w:val="center"/>
          </w:tcPr>
          <w:p w14:paraId="0F96684C" w14:textId="44839092" w:rsidR="00A67B90" w:rsidRPr="009C42C7" w:rsidRDefault="00A67B90" w:rsidP="00E439D8">
            <w:pPr>
              <w:rPr>
                <w:rFonts w:ascii="Arial" w:hAnsi="Arial" w:cs="Arial"/>
                <w:sz w:val="16"/>
                <w:szCs w:val="16"/>
              </w:rPr>
            </w:pPr>
            <w:r w:rsidRPr="009C42C7">
              <w:rPr>
                <w:rFonts w:ascii="Arial" w:hAnsi="Arial" w:cs="Arial"/>
                <w:sz w:val="16"/>
                <w:szCs w:val="16"/>
              </w:rPr>
              <w:t>$</w:t>
            </w:r>
            <w:r w:rsidR="009B224D">
              <w:rPr>
                <w:rFonts w:ascii="Arial" w:hAnsi="Arial" w:cs="Arial"/>
                <w:sz w:val="16"/>
                <w:szCs w:val="16"/>
              </w:rPr>
              <w:t>6</w:t>
            </w:r>
            <w:r w:rsidRPr="009C42C7">
              <w:rPr>
                <w:rFonts w:ascii="Arial" w:hAnsi="Arial" w:cs="Arial"/>
                <w:sz w:val="16"/>
                <w:szCs w:val="16"/>
              </w:rPr>
              <w:t>0,000</w:t>
            </w:r>
          </w:p>
        </w:tc>
        <w:tc>
          <w:tcPr>
            <w:tcW w:w="1980" w:type="dxa"/>
            <w:gridSpan w:val="4"/>
            <w:tcBorders>
              <w:top w:val="nil"/>
              <w:left w:val="nil"/>
              <w:bottom w:val="single" w:sz="4" w:space="0" w:color="auto"/>
              <w:right w:val="single" w:sz="8" w:space="0" w:color="auto"/>
            </w:tcBorders>
            <w:noWrap/>
            <w:vAlign w:val="center"/>
          </w:tcPr>
          <w:p w14:paraId="182BD4E6"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gridSpan w:val="3"/>
            <w:tcBorders>
              <w:top w:val="nil"/>
              <w:left w:val="nil"/>
              <w:bottom w:val="single" w:sz="4" w:space="0" w:color="auto"/>
              <w:right w:val="single" w:sz="8" w:space="0" w:color="auto"/>
            </w:tcBorders>
            <w:noWrap/>
            <w:vAlign w:val="center"/>
          </w:tcPr>
          <w:p w14:paraId="64933240"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r>
      <w:tr w:rsidR="00A67B90" w:rsidRPr="00C733C8" w14:paraId="1DD2A632"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3BE92B74" w14:textId="77777777" w:rsidR="00A67B90" w:rsidRPr="009C42C7" w:rsidRDefault="00A67B90" w:rsidP="00E439D8">
            <w:pPr>
              <w:rPr>
                <w:rFonts w:ascii="Arial" w:hAnsi="Arial" w:cs="Arial"/>
                <w:sz w:val="16"/>
                <w:szCs w:val="16"/>
              </w:rPr>
            </w:pPr>
            <w:r>
              <w:rPr>
                <w:rFonts w:ascii="Arial" w:hAnsi="Arial" w:cs="Arial"/>
                <w:sz w:val="16"/>
                <w:szCs w:val="16"/>
              </w:rPr>
              <w:t>Slidell</w:t>
            </w:r>
            <w:r w:rsidRPr="009C42C7">
              <w:rPr>
                <w:rFonts w:ascii="Arial" w:hAnsi="Arial" w:cs="Arial"/>
                <w:sz w:val="16"/>
                <w:szCs w:val="16"/>
              </w:rPr>
              <w:t xml:space="preserve"> ISD</w:t>
            </w:r>
          </w:p>
        </w:tc>
        <w:tc>
          <w:tcPr>
            <w:tcW w:w="1260" w:type="dxa"/>
            <w:tcBorders>
              <w:top w:val="nil"/>
              <w:left w:val="nil"/>
              <w:bottom w:val="single" w:sz="4" w:space="0" w:color="auto"/>
              <w:right w:val="single" w:sz="8" w:space="0" w:color="auto"/>
            </w:tcBorders>
            <w:noWrap/>
            <w:vAlign w:val="center"/>
          </w:tcPr>
          <w:p w14:paraId="7B34DF79" w14:textId="064E0231" w:rsidR="00A67B90" w:rsidRPr="009C42C7" w:rsidRDefault="00A67B90" w:rsidP="00E439D8">
            <w:pPr>
              <w:rPr>
                <w:rFonts w:ascii="Arial" w:hAnsi="Arial" w:cs="Arial"/>
                <w:sz w:val="16"/>
                <w:szCs w:val="16"/>
              </w:rPr>
            </w:pPr>
            <w:r>
              <w:rPr>
                <w:rFonts w:ascii="Arial" w:hAnsi="Arial" w:cs="Arial"/>
                <w:sz w:val="16"/>
                <w:szCs w:val="16"/>
              </w:rPr>
              <w:t>$</w:t>
            </w:r>
            <w:r w:rsidR="009B224D">
              <w:rPr>
                <w:rFonts w:ascii="Arial" w:hAnsi="Arial" w:cs="Arial"/>
                <w:sz w:val="16"/>
                <w:szCs w:val="16"/>
              </w:rPr>
              <w:t>1</w:t>
            </w:r>
            <w:r>
              <w:rPr>
                <w:rFonts w:ascii="Arial" w:hAnsi="Arial" w:cs="Arial"/>
                <w:sz w:val="16"/>
                <w:szCs w:val="16"/>
              </w:rPr>
              <w:t>40</w:t>
            </w:r>
            <w:r w:rsidRPr="009C42C7">
              <w:rPr>
                <w:rFonts w:ascii="Arial" w:hAnsi="Arial" w:cs="Arial"/>
                <w:sz w:val="16"/>
                <w:szCs w:val="16"/>
              </w:rPr>
              <w:t>,000</w:t>
            </w:r>
          </w:p>
        </w:tc>
        <w:tc>
          <w:tcPr>
            <w:tcW w:w="1440" w:type="dxa"/>
            <w:tcBorders>
              <w:top w:val="nil"/>
              <w:left w:val="nil"/>
              <w:bottom w:val="single" w:sz="4" w:space="0" w:color="auto"/>
              <w:right w:val="single" w:sz="8" w:space="0" w:color="auto"/>
            </w:tcBorders>
            <w:noWrap/>
            <w:vAlign w:val="center"/>
          </w:tcPr>
          <w:p w14:paraId="366E1919"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tcBorders>
              <w:top w:val="nil"/>
              <w:left w:val="nil"/>
              <w:bottom w:val="single" w:sz="4" w:space="0" w:color="auto"/>
              <w:right w:val="single" w:sz="8" w:space="0" w:color="auto"/>
            </w:tcBorders>
            <w:noWrap/>
            <w:vAlign w:val="center"/>
          </w:tcPr>
          <w:p w14:paraId="38C59C8A" w14:textId="721A3937" w:rsidR="00A67B90" w:rsidRPr="009C42C7" w:rsidRDefault="00A67B90" w:rsidP="00E439D8">
            <w:pPr>
              <w:rPr>
                <w:rFonts w:ascii="Arial" w:hAnsi="Arial" w:cs="Arial"/>
                <w:sz w:val="16"/>
                <w:szCs w:val="16"/>
              </w:rPr>
            </w:pPr>
            <w:r w:rsidRPr="009C42C7">
              <w:rPr>
                <w:rFonts w:ascii="Arial" w:hAnsi="Arial" w:cs="Arial"/>
                <w:sz w:val="16"/>
                <w:szCs w:val="16"/>
              </w:rPr>
              <w:t>$</w:t>
            </w:r>
            <w:r w:rsidR="009B224D">
              <w:rPr>
                <w:rFonts w:ascii="Arial" w:hAnsi="Arial" w:cs="Arial"/>
                <w:sz w:val="16"/>
                <w:szCs w:val="16"/>
              </w:rPr>
              <w:t>6</w:t>
            </w:r>
            <w:r w:rsidRPr="009C42C7">
              <w:rPr>
                <w:rFonts w:ascii="Arial" w:hAnsi="Arial" w:cs="Arial"/>
                <w:sz w:val="16"/>
                <w:szCs w:val="16"/>
              </w:rPr>
              <w:t>0,000</w:t>
            </w:r>
          </w:p>
        </w:tc>
        <w:tc>
          <w:tcPr>
            <w:tcW w:w="1440" w:type="dxa"/>
            <w:gridSpan w:val="2"/>
            <w:tcBorders>
              <w:top w:val="nil"/>
              <w:left w:val="nil"/>
              <w:bottom w:val="single" w:sz="4" w:space="0" w:color="auto"/>
              <w:right w:val="single" w:sz="8" w:space="0" w:color="auto"/>
            </w:tcBorders>
            <w:noWrap/>
            <w:vAlign w:val="center"/>
          </w:tcPr>
          <w:p w14:paraId="1013266A"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980" w:type="dxa"/>
            <w:gridSpan w:val="2"/>
            <w:tcBorders>
              <w:top w:val="nil"/>
              <w:left w:val="nil"/>
              <w:bottom w:val="single" w:sz="4" w:space="0" w:color="auto"/>
              <w:right w:val="single" w:sz="8" w:space="0" w:color="auto"/>
            </w:tcBorders>
            <w:noWrap/>
            <w:vAlign w:val="center"/>
          </w:tcPr>
          <w:p w14:paraId="49B56089" w14:textId="102D0089" w:rsidR="00A67B90" w:rsidRPr="009C42C7" w:rsidRDefault="00A67B90" w:rsidP="00E439D8">
            <w:pPr>
              <w:rPr>
                <w:rFonts w:ascii="Arial" w:hAnsi="Arial" w:cs="Arial"/>
                <w:sz w:val="16"/>
                <w:szCs w:val="16"/>
              </w:rPr>
            </w:pPr>
            <w:r w:rsidRPr="009C42C7">
              <w:rPr>
                <w:rFonts w:ascii="Arial" w:hAnsi="Arial" w:cs="Arial"/>
                <w:sz w:val="16"/>
                <w:szCs w:val="16"/>
              </w:rPr>
              <w:t>$</w:t>
            </w:r>
            <w:r w:rsidR="009B224D">
              <w:rPr>
                <w:rFonts w:ascii="Arial" w:hAnsi="Arial" w:cs="Arial"/>
                <w:sz w:val="16"/>
                <w:szCs w:val="16"/>
              </w:rPr>
              <w:t>6</w:t>
            </w:r>
            <w:r w:rsidRPr="009C42C7">
              <w:rPr>
                <w:rFonts w:ascii="Arial" w:hAnsi="Arial" w:cs="Arial"/>
                <w:sz w:val="16"/>
                <w:szCs w:val="16"/>
              </w:rPr>
              <w:t>0,000</w:t>
            </w:r>
          </w:p>
        </w:tc>
        <w:tc>
          <w:tcPr>
            <w:tcW w:w="1980" w:type="dxa"/>
            <w:gridSpan w:val="4"/>
            <w:tcBorders>
              <w:top w:val="nil"/>
              <w:left w:val="nil"/>
              <w:bottom w:val="single" w:sz="4" w:space="0" w:color="auto"/>
              <w:right w:val="single" w:sz="8" w:space="0" w:color="auto"/>
            </w:tcBorders>
            <w:noWrap/>
            <w:vAlign w:val="center"/>
          </w:tcPr>
          <w:p w14:paraId="4E45522B"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gridSpan w:val="3"/>
            <w:tcBorders>
              <w:top w:val="nil"/>
              <w:left w:val="nil"/>
              <w:bottom w:val="single" w:sz="4" w:space="0" w:color="auto"/>
              <w:right w:val="single" w:sz="8" w:space="0" w:color="auto"/>
            </w:tcBorders>
            <w:noWrap/>
            <w:vAlign w:val="center"/>
          </w:tcPr>
          <w:p w14:paraId="546E12C3" w14:textId="77777777" w:rsidR="00A67B90" w:rsidRPr="009C42C7" w:rsidRDefault="00A67B90" w:rsidP="00E439D8">
            <w:pPr>
              <w:rPr>
                <w:rFonts w:ascii="Arial" w:hAnsi="Arial" w:cs="Arial"/>
                <w:sz w:val="16"/>
                <w:szCs w:val="16"/>
              </w:rPr>
            </w:pPr>
            <w:r>
              <w:rPr>
                <w:rFonts w:ascii="Arial" w:hAnsi="Arial" w:cs="Arial"/>
                <w:sz w:val="16"/>
                <w:szCs w:val="16"/>
              </w:rPr>
              <w:t>N/A</w:t>
            </w:r>
          </w:p>
        </w:tc>
      </w:tr>
      <w:tr w:rsidR="00A67B90" w:rsidRPr="00C733C8" w14:paraId="11009604"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center"/>
          </w:tcPr>
          <w:p w14:paraId="353EA076" w14:textId="297A3BFF" w:rsidR="00A67B90" w:rsidRPr="009C42C7" w:rsidRDefault="00A67B90" w:rsidP="00E439D8">
            <w:pPr>
              <w:rPr>
                <w:rFonts w:ascii="Arial" w:hAnsi="Arial" w:cs="Arial"/>
                <w:sz w:val="16"/>
                <w:szCs w:val="16"/>
              </w:rPr>
            </w:pPr>
            <w:r>
              <w:rPr>
                <w:rFonts w:ascii="Arial" w:hAnsi="Arial" w:cs="Arial"/>
                <w:sz w:val="16"/>
                <w:szCs w:val="16"/>
              </w:rPr>
              <w:t xml:space="preserve">City of Bowie </w:t>
            </w:r>
          </w:p>
        </w:tc>
        <w:tc>
          <w:tcPr>
            <w:tcW w:w="1260" w:type="dxa"/>
            <w:tcBorders>
              <w:top w:val="nil"/>
              <w:left w:val="nil"/>
              <w:bottom w:val="single" w:sz="8" w:space="0" w:color="auto"/>
              <w:right w:val="single" w:sz="8" w:space="0" w:color="auto"/>
            </w:tcBorders>
            <w:noWrap/>
            <w:vAlign w:val="center"/>
          </w:tcPr>
          <w:p w14:paraId="3E9E8F9B"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tcBorders>
              <w:top w:val="nil"/>
              <w:left w:val="nil"/>
              <w:bottom w:val="single" w:sz="8" w:space="0" w:color="auto"/>
              <w:right w:val="single" w:sz="8" w:space="0" w:color="auto"/>
            </w:tcBorders>
            <w:noWrap/>
            <w:vAlign w:val="center"/>
          </w:tcPr>
          <w:p w14:paraId="63F804BF"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tcBorders>
              <w:top w:val="nil"/>
              <w:left w:val="nil"/>
              <w:bottom w:val="single" w:sz="8" w:space="0" w:color="auto"/>
              <w:right w:val="single" w:sz="8" w:space="0" w:color="auto"/>
            </w:tcBorders>
            <w:noWrap/>
            <w:vAlign w:val="center"/>
          </w:tcPr>
          <w:p w14:paraId="3CDB129E"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gridSpan w:val="2"/>
            <w:tcBorders>
              <w:top w:val="nil"/>
              <w:left w:val="nil"/>
              <w:bottom w:val="single" w:sz="8" w:space="0" w:color="auto"/>
              <w:right w:val="single" w:sz="8" w:space="0" w:color="auto"/>
            </w:tcBorders>
            <w:noWrap/>
            <w:vAlign w:val="center"/>
          </w:tcPr>
          <w:p w14:paraId="3B65FB36" w14:textId="77777777" w:rsidR="00A67B90" w:rsidRPr="009C42C7" w:rsidRDefault="00A67B90" w:rsidP="00E439D8">
            <w:pPr>
              <w:rPr>
                <w:rFonts w:ascii="Arial" w:hAnsi="Arial" w:cs="Arial"/>
                <w:sz w:val="16"/>
                <w:szCs w:val="16"/>
              </w:rPr>
            </w:pPr>
            <w:r>
              <w:rPr>
                <w:rFonts w:ascii="Arial" w:hAnsi="Arial" w:cs="Arial"/>
                <w:sz w:val="16"/>
                <w:szCs w:val="16"/>
              </w:rPr>
              <w:t>$5,000</w:t>
            </w:r>
          </w:p>
        </w:tc>
        <w:tc>
          <w:tcPr>
            <w:tcW w:w="1980" w:type="dxa"/>
            <w:gridSpan w:val="2"/>
            <w:tcBorders>
              <w:top w:val="nil"/>
              <w:left w:val="nil"/>
              <w:bottom w:val="single" w:sz="8" w:space="0" w:color="auto"/>
              <w:right w:val="single" w:sz="8" w:space="0" w:color="auto"/>
            </w:tcBorders>
            <w:noWrap/>
            <w:vAlign w:val="center"/>
          </w:tcPr>
          <w:p w14:paraId="526308DA"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4"/>
            <w:tcBorders>
              <w:top w:val="nil"/>
              <w:left w:val="nil"/>
              <w:bottom w:val="single" w:sz="8" w:space="0" w:color="auto"/>
              <w:right w:val="single" w:sz="8" w:space="0" w:color="auto"/>
            </w:tcBorders>
            <w:noWrap/>
            <w:vAlign w:val="center"/>
          </w:tcPr>
          <w:p w14:paraId="3C5782EA"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c>
          <w:tcPr>
            <w:tcW w:w="1260" w:type="dxa"/>
            <w:gridSpan w:val="3"/>
            <w:tcBorders>
              <w:top w:val="nil"/>
              <w:left w:val="nil"/>
              <w:bottom w:val="single" w:sz="8" w:space="0" w:color="auto"/>
              <w:right w:val="single" w:sz="8" w:space="0" w:color="auto"/>
            </w:tcBorders>
            <w:noWrap/>
            <w:vAlign w:val="center"/>
          </w:tcPr>
          <w:p w14:paraId="04461E2F" w14:textId="77777777" w:rsidR="00A67B90" w:rsidRPr="009C42C7" w:rsidRDefault="00A67B90" w:rsidP="00E439D8">
            <w:pPr>
              <w:rPr>
                <w:rFonts w:ascii="Arial" w:hAnsi="Arial" w:cs="Arial"/>
                <w:sz w:val="16"/>
                <w:szCs w:val="16"/>
              </w:rPr>
            </w:pPr>
            <w:r w:rsidRPr="009C42C7">
              <w:rPr>
                <w:rFonts w:ascii="Arial" w:hAnsi="Arial" w:cs="Arial"/>
                <w:sz w:val="16"/>
                <w:szCs w:val="16"/>
              </w:rPr>
              <w:t>N/A</w:t>
            </w:r>
          </w:p>
        </w:tc>
      </w:tr>
      <w:tr w:rsidR="00A67B90" w:rsidRPr="00C733C8" w14:paraId="1876E035" w14:textId="77777777" w:rsidTr="00E439D8">
        <w:trPr>
          <w:gridAfter w:val="8"/>
          <w:wAfter w:w="12262" w:type="dxa"/>
          <w:trHeight w:val="255"/>
        </w:trPr>
        <w:tc>
          <w:tcPr>
            <w:tcW w:w="2340" w:type="dxa"/>
            <w:tcBorders>
              <w:top w:val="single" w:sz="8" w:space="0" w:color="auto"/>
              <w:left w:val="single" w:sz="8" w:space="0" w:color="auto"/>
              <w:bottom w:val="single" w:sz="8" w:space="0" w:color="auto"/>
              <w:right w:val="single" w:sz="8" w:space="0" w:color="auto"/>
            </w:tcBorders>
            <w:noWrap/>
            <w:vAlign w:val="center"/>
          </w:tcPr>
          <w:p w14:paraId="5E87DFFB" w14:textId="77777777" w:rsidR="00A67B90" w:rsidRDefault="00A67B90" w:rsidP="00E439D8">
            <w:pPr>
              <w:rPr>
                <w:rFonts w:ascii="Arial" w:hAnsi="Arial" w:cs="Arial"/>
                <w:sz w:val="16"/>
                <w:szCs w:val="16"/>
              </w:rPr>
            </w:pPr>
          </w:p>
          <w:p w14:paraId="1DA899CB" w14:textId="77777777" w:rsidR="00A67B90" w:rsidRPr="009C42C7" w:rsidRDefault="00A67B90" w:rsidP="00E439D8">
            <w:pPr>
              <w:rPr>
                <w:rFonts w:ascii="Arial" w:hAnsi="Arial" w:cs="Arial"/>
                <w:sz w:val="16"/>
                <w:szCs w:val="16"/>
              </w:rPr>
            </w:pPr>
            <w:r>
              <w:rPr>
                <w:rFonts w:ascii="Arial" w:hAnsi="Arial" w:cs="Arial"/>
                <w:sz w:val="16"/>
                <w:szCs w:val="16"/>
              </w:rPr>
              <w:t>City of Nocona</w:t>
            </w:r>
          </w:p>
        </w:tc>
        <w:tc>
          <w:tcPr>
            <w:tcW w:w="1260" w:type="dxa"/>
            <w:tcBorders>
              <w:top w:val="single" w:sz="8" w:space="0" w:color="auto"/>
              <w:left w:val="single" w:sz="8" w:space="0" w:color="auto"/>
              <w:bottom w:val="single" w:sz="8" w:space="0" w:color="auto"/>
              <w:right w:val="single" w:sz="8" w:space="0" w:color="auto"/>
            </w:tcBorders>
            <w:noWrap/>
            <w:vAlign w:val="bottom"/>
          </w:tcPr>
          <w:p w14:paraId="6820D304"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tcBorders>
              <w:top w:val="single" w:sz="8" w:space="0" w:color="auto"/>
              <w:left w:val="single" w:sz="8" w:space="0" w:color="auto"/>
              <w:bottom w:val="single" w:sz="8" w:space="0" w:color="auto"/>
              <w:right w:val="single" w:sz="8" w:space="0" w:color="auto"/>
            </w:tcBorders>
            <w:noWrap/>
            <w:vAlign w:val="bottom"/>
          </w:tcPr>
          <w:p w14:paraId="4E4C2B3A"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tcBorders>
              <w:top w:val="single" w:sz="8" w:space="0" w:color="auto"/>
              <w:left w:val="single" w:sz="8" w:space="0" w:color="auto"/>
              <w:bottom w:val="single" w:sz="8" w:space="0" w:color="auto"/>
              <w:right w:val="single" w:sz="8" w:space="0" w:color="auto"/>
            </w:tcBorders>
            <w:noWrap/>
            <w:vAlign w:val="bottom"/>
          </w:tcPr>
          <w:p w14:paraId="5B2323B0"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gridSpan w:val="2"/>
            <w:tcBorders>
              <w:top w:val="single" w:sz="8" w:space="0" w:color="auto"/>
              <w:left w:val="single" w:sz="8" w:space="0" w:color="auto"/>
              <w:bottom w:val="single" w:sz="8" w:space="0" w:color="auto"/>
              <w:right w:val="single" w:sz="8" w:space="0" w:color="auto"/>
            </w:tcBorders>
            <w:noWrap/>
            <w:vAlign w:val="bottom"/>
          </w:tcPr>
          <w:p w14:paraId="6E1D0C0C" w14:textId="77777777" w:rsidR="00A67B90" w:rsidRPr="009C42C7" w:rsidRDefault="00A67B90" w:rsidP="00E439D8">
            <w:pPr>
              <w:rPr>
                <w:rFonts w:ascii="Arial" w:hAnsi="Arial" w:cs="Arial"/>
                <w:sz w:val="16"/>
                <w:szCs w:val="16"/>
              </w:rPr>
            </w:pPr>
            <w:r>
              <w:rPr>
                <w:rFonts w:ascii="Arial" w:hAnsi="Arial" w:cs="Arial"/>
                <w:sz w:val="16"/>
                <w:szCs w:val="16"/>
              </w:rPr>
              <w:t>$9,000</w:t>
            </w:r>
          </w:p>
        </w:tc>
        <w:tc>
          <w:tcPr>
            <w:tcW w:w="1980" w:type="dxa"/>
            <w:gridSpan w:val="2"/>
            <w:tcBorders>
              <w:top w:val="single" w:sz="8" w:space="0" w:color="auto"/>
              <w:left w:val="single" w:sz="8" w:space="0" w:color="auto"/>
              <w:bottom w:val="single" w:sz="8" w:space="0" w:color="auto"/>
              <w:right w:val="single" w:sz="8" w:space="0" w:color="auto"/>
            </w:tcBorders>
            <w:noWrap/>
            <w:vAlign w:val="bottom"/>
          </w:tcPr>
          <w:p w14:paraId="6B6424E3"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4"/>
            <w:tcBorders>
              <w:top w:val="single" w:sz="8" w:space="0" w:color="auto"/>
              <w:left w:val="single" w:sz="8" w:space="0" w:color="auto"/>
              <w:bottom w:val="single" w:sz="8" w:space="0" w:color="auto"/>
              <w:right w:val="single" w:sz="8" w:space="0" w:color="auto"/>
            </w:tcBorders>
            <w:noWrap/>
            <w:vAlign w:val="bottom"/>
          </w:tcPr>
          <w:p w14:paraId="7BE81478"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gridSpan w:val="3"/>
            <w:tcBorders>
              <w:top w:val="single" w:sz="8" w:space="0" w:color="auto"/>
              <w:left w:val="single" w:sz="8" w:space="0" w:color="auto"/>
              <w:bottom w:val="single" w:sz="8" w:space="0" w:color="auto"/>
              <w:right w:val="single" w:sz="8" w:space="0" w:color="auto"/>
            </w:tcBorders>
            <w:noWrap/>
            <w:vAlign w:val="bottom"/>
          </w:tcPr>
          <w:p w14:paraId="1166311D" w14:textId="77777777" w:rsidR="00A67B90" w:rsidRPr="009C42C7" w:rsidRDefault="00A67B90" w:rsidP="00E439D8">
            <w:pPr>
              <w:rPr>
                <w:rFonts w:ascii="Arial" w:hAnsi="Arial" w:cs="Arial"/>
                <w:sz w:val="16"/>
                <w:szCs w:val="16"/>
              </w:rPr>
            </w:pPr>
            <w:r>
              <w:rPr>
                <w:rFonts w:ascii="Arial" w:hAnsi="Arial" w:cs="Arial"/>
                <w:sz w:val="16"/>
                <w:szCs w:val="16"/>
              </w:rPr>
              <w:t>N/A</w:t>
            </w:r>
          </w:p>
        </w:tc>
      </w:tr>
      <w:tr w:rsidR="00A67B90" w:rsidRPr="00C733C8" w14:paraId="676986A8" w14:textId="77777777" w:rsidTr="00E439D8">
        <w:trPr>
          <w:gridAfter w:val="8"/>
          <w:wAfter w:w="12262" w:type="dxa"/>
          <w:trHeight w:val="255"/>
        </w:trPr>
        <w:tc>
          <w:tcPr>
            <w:tcW w:w="2340" w:type="dxa"/>
            <w:tcBorders>
              <w:top w:val="single" w:sz="8" w:space="0" w:color="auto"/>
              <w:left w:val="single" w:sz="8" w:space="0" w:color="auto"/>
              <w:bottom w:val="single" w:sz="8" w:space="0" w:color="auto"/>
              <w:right w:val="single" w:sz="8" w:space="0" w:color="auto"/>
            </w:tcBorders>
            <w:noWrap/>
            <w:vAlign w:val="bottom"/>
          </w:tcPr>
          <w:p w14:paraId="23840D59" w14:textId="77777777" w:rsidR="00A67B90" w:rsidRDefault="00A67B90" w:rsidP="00E439D8">
            <w:pPr>
              <w:rPr>
                <w:rFonts w:ascii="Arial" w:hAnsi="Arial" w:cs="Arial"/>
                <w:sz w:val="16"/>
                <w:szCs w:val="16"/>
              </w:rPr>
            </w:pPr>
          </w:p>
          <w:p w14:paraId="1C00DCBC" w14:textId="77777777" w:rsidR="00A67B90" w:rsidRPr="009C42C7" w:rsidRDefault="00A67B90" w:rsidP="00E439D8">
            <w:pPr>
              <w:rPr>
                <w:rFonts w:ascii="Arial" w:hAnsi="Arial" w:cs="Arial"/>
                <w:sz w:val="16"/>
                <w:szCs w:val="16"/>
              </w:rPr>
            </w:pPr>
            <w:r>
              <w:rPr>
                <w:rFonts w:ascii="Arial" w:hAnsi="Arial" w:cs="Arial"/>
                <w:sz w:val="16"/>
                <w:szCs w:val="16"/>
              </w:rPr>
              <w:t>City of Saint Jo</w:t>
            </w:r>
          </w:p>
        </w:tc>
        <w:tc>
          <w:tcPr>
            <w:tcW w:w="1260" w:type="dxa"/>
            <w:tcBorders>
              <w:top w:val="single" w:sz="8" w:space="0" w:color="auto"/>
              <w:left w:val="single" w:sz="8" w:space="0" w:color="auto"/>
              <w:bottom w:val="single" w:sz="8" w:space="0" w:color="auto"/>
              <w:right w:val="single" w:sz="8" w:space="0" w:color="auto"/>
            </w:tcBorders>
            <w:noWrap/>
            <w:vAlign w:val="bottom"/>
          </w:tcPr>
          <w:p w14:paraId="6820E41F"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tcBorders>
              <w:top w:val="single" w:sz="8" w:space="0" w:color="auto"/>
              <w:left w:val="single" w:sz="8" w:space="0" w:color="auto"/>
              <w:bottom w:val="single" w:sz="8" w:space="0" w:color="auto"/>
              <w:right w:val="single" w:sz="8" w:space="0" w:color="auto"/>
            </w:tcBorders>
            <w:noWrap/>
            <w:vAlign w:val="bottom"/>
          </w:tcPr>
          <w:p w14:paraId="50DC7292"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tcBorders>
              <w:top w:val="single" w:sz="8" w:space="0" w:color="auto"/>
              <w:left w:val="single" w:sz="8" w:space="0" w:color="auto"/>
              <w:bottom w:val="single" w:sz="8" w:space="0" w:color="auto"/>
              <w:right w:val="single" w:sz="8" w:space="0" w:color="auto"/>
            </w:tcBorders>
            <w:noWrap/>
            <w:vAlign w:val="bottom"/>
          </w:tcPr>
          <w:p w14:paraId="342427CD"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gridSpan w:val="2"/>
            <w:tcBorders>
              <w:top w:val="single" w:sz="8" w:space="0" w:color="auto"/>
              <w:left w:val="single" w:sz="8" w:space="0" w:color="auto"/>
              <w:bottom w:val="single" w:sz="8" w:space="0" w:color="auto"/>
              <w:right w:val="single" w:sz="8" w:space="0" w:color="auto"/>
            </w:tcBorders>
            <w:noWrap/>
            <w:vAlign w:val="bottom"/>
          </w:tcPr>
          <w:p w14:paraId="6A17B85D" w14:textId="77777777" w:rsidR="00A67B90" w:rsidRPr="009C42C7" w:rsidRDefault="00A67B90" w:rsidP="00E439D8">
            <w:pPr>
              <w:rPr>
                <w:rFonts w:ascii="Arial" w:hAnsi="Arial" w:cs="Arial"/>
                <w:sz w:val="16"/>
                <w:szCs w:val="16"/>
              </w:rPr>
            </w:pPr>
            <w:r>
              <w:rPr>
                <w:rFonts w:ascii="Arial" w:hAnsi="Arial" w:cs="Arial"/>
                <w:sz w:val="16"/>
                <w:szCs w:val="16"/>
              </w:rPr>
              <w:t>$6,000</w:t>
            </w:r>
          </w:p>
        </w:tc>
        <w:tc>
          <w:tcPr>
            <w:tcW w:w="1980" w:type="dxa"/>
            <w:gridSpan w:val="2"/>
            <w:tcBorders>
              <w:top w:val="single" w:sz="8" w:space="0" w:color="auto"/>
              <w:left w:val="single" w:sz="8" w:space="0" w:color="auto"/>
              <w:bottom w:val="single" w:sz="8" w:space="0" w:color="auto"/>
              <w:right w:val="single" w:sz="8" w:space="0" w:color="auto"/>
            </w:tcBorders>
            <w:noWrap/>
            <w:vAlign w:val="bottom"/>
          </w:tcPr>
          <w:p w14:paraId="2B08C045"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4"/>
            <w:tcBorders>
              <w:top w:val="single" w:sz="8" w:space="0" w:color="auto"/>
              <w:left w:val="single" w:sz="8" w:space="0" w:color="auto"/>
              <w:bottom w:val="single" w:sz="8" w:space="0" w:color="auto"/>
              <w:right w:val="single" w:sz="8" w:space="0" w:color="auto"/>
            </w:tcBorders>
            <w:noWrap/>
            <w:vAlign w:val="bottom"/>
          </w:tcPr>
          <w:p w14:paraId="09C4F3E8"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gridSpan w:val="3"/>
            <w:tcBorders>
              <w:top w:val="single" w:sz="8" w:space="0" w:color="auto"/>
              <w:left w:val="single" w:sz="8" w:space="0" w:color="auto"/>
              <w:bottom w:val="single" w:sz="8" w:space="0" w:color="auto"/>
              <w:right w:val="single" w:sz="8" w:space="0" w:color="auto"/>
            </w:tcBorders>
            <w:noWrap/>
            <w:vAlign w:val="bottom"/>
          </w:tcPr>
          <w:p w14:paraId="63CDC0C7" w14:textId="77777777" w:rsidR="00A67B90" w:rsidRPr="009C42C7" w:rsidRDefault="00A67B90" w:rsidP="00E439D8">
            <w:pPr>
              <w:rPr>
                <w:rFonts w:ascii="Arial" w:hAnsi="Arial" w:cs="Arial"/>
                <w:sz w:val="16"/>
                <w:szCs w:val="16"/>
              </w:rPr>
            </w:pPr>
            <w:r>
              <w:rPr>
                <w:rFonts w:ascii="Arial" w:hAnsi="Arial" w:cs="Arial"/>
                <w:sz w:val="16"/>
                <w:szCs w:val="16"/>
              </w:rPr>
              <w:t>N/A</w:t>
            </w:r>
          </w:p>
        </w:tc>
      </w:tr>
      <w:tr w:rsidR="00A67B90" w:rsidRPr="00C733C8" w14:paraId="581C41DC" w14:textId="77777777" w:rsidTr="00E439D8">
        <w:trPr>
          <w:gridAfter w:val="8"/>
          <w:wAfter w:w="12262" w:type="dxa"/>
          <w:trHeight w:val="430"/>
        </w:trPr>
        <w:tc>
          <w:tcPr>
            <w:tcW w:w="2340" w:type="dxa"/>
            <w:tcBorders>
              <w:top w:val="single" w:sz="8" w:space="0" w:color="auto"/>
              <w:left w:val="single" w:sz="8" w:space="0" w:color="auto"/>
              <w:bottom w:val="single" w:sz="8" w:space="0" w:color="auto"/>
              <w:right w:val="single" w:sz="8" w:space="0" w:color="auto"/>
            </w:tcBorders>
            <w:noWrap/>
            <w:vAlign w:val="bottom"/>
          </w:tcPr>
          <w:p w14:paraId="565FB83E" w14:textId="77777777" w:rsidR="00A67B90" w:rsidRDefault="00A67B90" w:rsidP="00E439D8">
            <w:pPr>
              <w:rPr>
                <w:rFonts w:ascii="Arial" w:hAnsi="Arial" w:cs="Arial"/>
                <w:sz w:val="16"/>
                <w:szCs w:val="16"/>
              </w:rPr>
            </w:pPr>
          </w:p>
          <w:p w14:paraId="312BFADD" w14:textId="515C7044" w:rsidR="00A67B90" w:rsidRPr="009C42C7" w:rsidRDefault="00A67B90" w:rsidP="00E439D8">
            <w:pPr>
              <w:rPr>
                <w:rFonts w:ascii="Arial" w:hAnsi="Arial" w:cs="Arial"/>
                <w:sz w:val="16"/>
                <w:szCs w:val="16"/>
              </w:rPr>
            </w:pPr>
            <w:r>
              <w:rPr>
                <w:rFonts w:ascii="Arial" w:hAnsi="Arial" w:cs="Arial"/>
                <w:sz w:val="16"/>
                <w:szCs w:val="16"/>
              </w:rPr>
              <w:t>City of Sunset</w:t>
            </w:r>
          </w:p>
        </w:tc>
        <w:tc>
          <w:tcPr>
            <w:tcW w:w="1260" w:type="dxa"/>
            <w:tcBorders>
              <w:top w:val="single" w:sz="8" w:space="0" w:color="auto"/>
              <w:left w:val="single" w:sz="8" w:space="0" w:color="auto"/>
              <w:bottom w:val="single" w:sz="8" w:space="0" w:color="auto"/>
              <w:right w:val="single" w:sz="8" w:space="0" w:color="auto"/>
            </w:tcBorders>
            <w:noWrap/>
            <w:vAlign w:val="bottom"/>
          </w:tcPr>
          <w:p w14:paraId="7F43D00A"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tcBorders>
              <w:top w:val="single" w:sz="8" w:space="0" w:color="auto"/>
              <w:left w:val="single" w:sz="8" w:space="0" w:color="auto"/>
              <w:bottom w:val="single" w:sz="8" w:space="0" w:color="auto"/>
              <w:right w:val="single" w:sz="8" w:space="0" w:color="auto"/>
            </w:tcBorders>
            <w:noWrap/>
            <w:vAlign w:val="bottom"/>
          </w:tcPr>
          <w:p w14:paraId="67911514" w14:textId="77777777" w:rsidR="00A67B90" w:rsidRPr="009C42C7" w:rsidRDefault="00A67B90" w:rsidP="00E439D8">
            <w:pPr>
              <w:rPr>
                <w:rFonts w:ascii="Arial" w:hAnsi="Arial" w:cs="Arial"/>
                <w:sz w:val="16"/>
                <w:szCs w:val="16"/>
              </w:rPr>
            </w:pPr>
            <w:r>
              <w:rPr>
                <w:rFonts w:ascii="Arial" w:hAnsi="Arial" w:cs="Arial"/>
                <w:sz w:val="16"/>
                <w:szCs w:val="16"/>
              </w:rPr>
              <w:t>$5,000</w:t>
            </w:r>
          </w:p>
        </w:tc>
        <w:tc>
          <w:tcPr>
            <w:tcW w:w="1260" w:type="dxa"/>
            <w:tcBorders>
              <w:top w:val="single" w:sz="8" w:space="0" w:color="auto"/>
              <w:left w:val="single" w:sz="8" w:space="0" w:color="auto"/>
              <w:bottom w:val="single" w:sz="8" w:space="0" w:color="auto"/>
              <w:right w:val="single" w:sz="8" w:space="0" w:color="auto"/>
            </w:tcBorders>
            <w:noWrap/>
            <w:vAlign w:val="bottom"/>
          </w:tcPr>
          <w:p w14:paraId="43E28D70"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gridSpan w:val="2"/>
            <w:tcBorders>
              <w:top w:val="single" w:sz="8" w:space="0" w:color="auto"/>
              <w:left w:val="single" w:sz="8" w:space="0" w:color="auto"/>
              <w:bottom w:val="single" w:sz="8" w:space="0" w:color="auto"/>
              <w:right w:val="single" w:sz="8" w:space="0" w:color="auto"/>
            </w:tcBorders>
            <w:noWrap/>
            <w:vAlign w:val="bottom"/>
          </w:tcPr>
          <w:p w14:paraId="6558CE1D" w14:textId="77777777" w:rsidR="00A67B90" w:rsidRPr="009C42C7" w:rsidRDefault="00A67B90" w:rsidP="00E439D8">
            <w:pPr>
              <w:rPr>
                <w:rFonts w:ascii="Arial" w:hAnsi="Arial" w:cs="Arial"/>
                <w:sz w:val="16"/>
                <w:szCs w:val="16"/>
              </w:rPr>
            </w:pPr>
            <w:r>
              <w:rPr>
                <w:rFonts w:ascii="Arial" w:hAnsi="Arial" w:cs="Arial"/>
                <w:sz w:val="16"/>
                <w:szCs w:val="16"/>
              </w:rPr>
              <w:t>$5,000</w:t>
            </w:r>
          </w:p>
        </w:tc>
        <w:tc>
          <w:tcPr>
            <w:tcW w:w="1980" w:type="dxa"/>
            <w:gridSpan w:val="2"/>
            <w:tcBorders>
              <w:top w:val="single" w:sz="8" w:space="0" w:color="auto"/>
              <w:left w:val="single" w:sz="8" w:space="0" w:color="auto"/>
              <w:bottom w:val="single" w:sz="8" w:space="0" w:color="auto"/>
              <w:right w:val="single" w:sz="8" w:space="0" w:color="auto"/>
            </w:tcBorders>
            <w:noWrap/>
            <w:vAlign w:val="bottom"/>
          </w:tcPr>
          <w:p w14:paraId="1AE812DE"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4"/>
            <w:tcBorders>
              <w:top w:val="single" w:sz="8" w:space="0" w:color="auto"/>
              <w:left w:val="single" w:sz="8" w:space="0" w:color="auto"/>
              <w:bottom w:val="single" w:sz="8" w:space="0" w:color="auto"/>
              <w:right w:val="single" w:sz="8" w:space="0" w:color="auto"/>
            </w:tcBorders>
            <w:noWrap/>
            <w:vAlign w:val="bottom"/>
          </w:tcPr>
          <w:p w14:paraId="54288A71" w14:textId="77777777" w:rsidR="00A67B90" w:rsidRPr="009C42C7" w:rsidRDefault="00A67B90" w:rsidP="00E439D8">
            <w:pPr>
              <w:rPr>
                <w:rFonts w:ascii="Arial" w:hAnsi="Arial" w:cs="Arial"/>
                <w:sz w:val="16"/>
                <w:szCs w:val="16"/>
              </w:rPr>
            </w:pPr>
            <w:r>
              <w:rPr>
                <w:rFonts w:ascii="Arial" w:hAnsi="Arial" w:cs="Arial"/>
                <w:sz w:val="16"/>
                <w:szCs w:val="16"/>
              </w:rPr>
              <w:t>$5,000</w:t>
            </w:r>
          </w:p>
        </w:tc>
        <w:tc>
          <w:tcPr>
            <w:tcW w:w="1260" w:type="dxa"/>
            <w:gridSpan w:val="3"/>
            <w:tcBorders>
              <w:top w:val="single" w:sz="8" w:space="0" w:color="auto"/>
              <w:left w:val="single" w:sz="8" w:space="0" w:color="auto"/>
              <w:bottom w:val="single" w:sz="8" w:space="0" w:color="auto"/>
              <w:right w:val="single" w:sz="8" w:space="0" w:color="auto"/>
            </w:tcBorders>
            <w:noWrap/>
            <w:vAlign w:val="bottom"/>
          </w:tcPr>
          <w:p w14:paraId="3253E8F1" w14:textId="77777777" w:rsidR="00A67B90" w:rsidRPr="009C42C7" w:rsidRDefault="00A67B90" w:rsidP="00E439D8">
            <w:pPr>
              <w:rPr>
                <w:rFonts w:ascii="Arial" w:hAnsi="Arial" w:cs="Arial"/>
                <w:sz w:val="16"/>
                <w:szCs w:val="16"/>
              </w:rPr>
            </w:pPr>
            <w:r>
              <w:rPr>
                <w:rFonts w:ascii="Arial" w:hAnsi="Arial" w:cs="Arial"/>
                <w:sz w:val="16"/>
                <w:szCs w:val="16"/>
              </w:rPr>
              <w:t>N/A</w:t>
            </w:r>
          </w:p>
        </w:tc>
      </w:tr>
      <w:tr w:rsidR="00A67B90" w:rsidRPr="00C733C8" w14:paraId="7DBAD7F8"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bottom"/>
          </w:tcPr>
          <w:p w14:paraId="4F178CBB" w14:textId="77777777" w:rsidR="00A67B90" w:rsidRPr="009C42C7" w:rsidRDefault="00A67B90" w:rsidP="00E439D8">
            <w:pPr>
              <w:rPr>
                <w:rFonts w:ascii="Arial" w:hAnsi="Arial" w:cs="Arial"/>
                <w:sz w:val="16"/>
                <w:szCs w:val="16"/>
              </w:rPr>
            </w:pPr>
            <w:r>
              <w:rPr>
                <w:rFonts w:ascii="Arial" w:hAnsi="Arial" w:cs="Arial"/>
                <w:sz w:val="16"/>
                <w:szCs w:val="16"/>
              </w:rPr>
              <w:t>Clear Creek Watershed</w:t>
            </w:r>
          </w:p>
        </w:tc>
        <w:tc>
          <w:tcPr>
            <w:tcW w:w="1260" w:type="dxa"/>
            <w:tcBorders>
              <w:top w:val="single" w:sz="8" w:space="0" w:color="auto"/>
              <w:left w:val="single" w:sz="8" w:space="0" w:color="auto"/>
              <w:bottom w:val="single" w:sz="8" w:space="0" w:color="auto"/>
              <w:right w:val="single" w:sz="8" w:space="0" w:color="auto"/>
            </w:tcBorders>
            <w:noWrap/>
            <w:vAlign w:val="bottom"/>
          </w:tcPr>
          <w:p w14:paraId="557ECCC8"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tcBorders>
              <w:top w:val="single" w:sz="8" w:space="0" w:color="auto"/>
              <w:left w:val="single" w:sz="8" w:space="0" w:color="auto"/>
              <w:bottom w:val="single" w:sz="8" w:space="0" w:color="auto"/>
              <w:right w:val="single" w:sz="8" w:space="0" w:color="auto"/>
            </w:tcBorders>
            <w:noWrap/>
            <w:vAlign w:val="bottom"/>
          </w:tcPr>
          <w:p w14:paraId="7C82EF3E"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tcBorders>
              <w:top w:val="single" w:sz="8" w:space="0" w:color="auto"/>
              <w:left w:val="single" w:sz="8" w:space="0" w:color="auto"/>
              <w:bottom w:val="single" w:sz="8" w:space="0" w:color="auto"/>
              <w:right w:val="single" w:sz="8" w:space="0" w:color="auto"/>
            </w:tcBorders>
            <w:noWrap/>
            <w:vAlign w:val="bottom"/>
          </w:tcPr>
          <w:p w14:paraId="46210E84"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gridSpan w:val="2"/>
            <w:tcBorders>
              <w:top w:val="single" w:sz="8" w:space="0" w:color="auto"/>
              <w:left w:val="single" w:sz="8" w:space="0" w:color="auto"/>
              <w:bottom w:val="single" w:sz="8" w:space="0" w:color="auto"/>
              <w:right w:val="single" w:sz="8" w:space="0" w:color="auto"/>
            </w:tcBorders>
            <w:noWrap/>
            <w:vAlign w:val="bottom"/>
          </w:tcPr>
          <w:p w14:paraId="7D36B47E"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2"/>
            <w:tcBorders>
              <w:top w:val="single" w:sz="8" w:space="0" w:color="auto"/>
              <w:left w:val="single" w:sz="8" w:space="0" w:color="auto"/>
              <w:bottom w:val="single" w:sz="8" w:space="0" w:color="auto"/>
              <w:right w:val="single" w:sz="8" w:space="0" w:color="auto"/>
            </w:tcBorders>
            <w:noWrap/>
            <w:vAlign w:val="bottom"/>
          </w:tcPr>
          <w:p w14:paraId="36B73E1C"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4"/>
            <w:tcBorders>
              <w:top w:val="single" w:sz="8" w:space="0" w:color="auto"/>
              <w:left w:val="single" w:sz="8" w:space="0" w:color="auto"/>
              <w:bottom w:val="single" w:sz="8" w:space="0" w:color="auto"/>
              <w:right w:val="single" w:sz="8" w:space="0" w:color="auto"/>
            </w:tcBorders>
            <w:noWrap/>
            <w:vAlign w:val="bottom"/>
          </w:tcPr>
          <w:p w14:paraId="2ED68739"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gridSpan w:val="3"/>
            <w:tcBorders>
              <w:top w:val="single" w:sz="8" w:space="0" w:color="auto"/>
              <w:left w:val="single" w:sz="8" w:space="0" w:color="auto"/>
              <w:bottom w:val="single" w:sz="8" w:space="0" w:color="auto"/>
              <w:right w:val="single" w:sz="8" w:space="0" w:color="auto"/>
            </w:tcBorders>
            <w:noWrap/>
            <w:vAlign w:val="bottom"/>
          </w:tcPr>
          <w:p w14:paraId="770E6162" w14:textId="77777777" w:rsidR="00A67B90" w:rsidRPr="009C42C7" w:rsidRDefault="00A67B90" w:rsidP="00E439D8">
            <w:pPr>
              <w:rPr>
                <w:rFonts w:ascii="Arial" w:hAnsi="Arial" w:cs="Arial"/>
                <w:sz w:val="16"/>
                <w:szCs w:val="16"/>
              </w:rPr>
            </w:pPr>
            <w:r>
              <w:rPr>
                <w:rFonts w:ascii="Arial" w:hAnsi="Arial" w:cs="Arial"/>
                <w:sz w:val="16"/>
                <w:szCs w:val="16"/>
              </w:rPr>
              <w:t>N/A</w:t>
            </w:r>
          </w:p>
        </w:tc>
      </w:tr>
      <w:tr w:rsidR="00A67B90" w:rsidRPr="00C733C8" w14:paraId="36302F2E"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bottom"/>
          </w:tcPr>
          <w:p w14:paraId="03FC508A" w14:textId="77777777" w:rsidR="00A67B90" w:rsidRDefault="00A67B90" w:rsidP="00E439D8">
            <w:pPr>
              <w:rPr>
                <w:rFonts w:ascii="Arial" w:hAnsi="Arial" w:cs="Arial"/>
                <w:sz w:val="16"/>
                <w:szCs w:val="16"/>
              </w:rPr>
            </w:pPr>
            <w:r>
              <w:rPr>
                <w:rFonts w:ascii="Arial" w:hAnsi="Arial" w:cs="Arial"/>
                <w:sz w:val="16"/>
                <w:szCs w:val="16"/>
              </w:rPr>
              <w:t>Farmers Creek Watershed</w:t>
            </w:r>
          </w:p>
        </w:tc>
        <w:tc>
          <w:tcPr>
            <w:tcW w:w="1260" w:type="dxa"/>
            <w:tcBorders>
              <w:top w:val="single" w:sz="8" w:space="0" w:color="auto"/>
              <w:left w:val="single" w:sz="8" w:space="0" w:color="auto"/>
              <w:bottom w:val="single" w:sz="8" w:space="0" w:color="auto"/>
              <w:right w:val="single" w:sz="8" w:space="0" w:color="auto"/>
            </w:tcBorders>
            <w:noWrap/>
            <w:vAlign w:val="bottom"/>
          </w:tcPr>
          <w:p w14:paraId="01AA72F6"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tcBorders>
              <w:top w:val="single" w:sz="8" w:space="0" w:color="auto"/>
              <w:left w:val="single" w:sz="8" w:space="0" w:color="auto"/>
              <w:bottom w:val="single" w:sz="8" w:space="0" w:color="auto"/>
              <w:right w:val="single" w:sz="8" w:space="0" w:color="auto"/>
            </w:tcBorders>
            <w:noWrap/>
            <w:vAlign w:val="bottom"/>
          </w:tcPr>
          <w:p w14:paraId="0308FD05"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tcBorders>
              <w:top w:val="single" w:sz="8" w:space="0" w:color="auto"/>
              <w:left w:val="single" w:sz="8" w:space="0" w:color="auto"/>
              <w:bottom w:val="single" w:sz="8" w:space="0" w:color="auto"/>
              <w:right w:val="single" w:sz="8" w:space="0" w:color="auto"/>
            </w:tcBorders>
            <w:noWrap/>
            <w:vAlign w:val="bottom"/>
          </w:tcPr>
          <w:p w14:paraId="0ADF5E65"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gridSpan w:val="2"/>
            <w:tcBorders>
              <w:top w:val="single" w:sz="8" w:space="0" w:color="auto"/>
              <w:left w:val="single" w:sz="8" w:space="0" w:color="auto"/>
              <w:bottom w:val="single" w:sz="8" w:space="0" w:color="auto"/>
              <w:right w:val="single" w:sz="8" w:space="0" w:color="auto"/>
            </w:tcBorders>
            <w:noWrap/>
            <w:vAlign w:val="bottom"/>
          </w:tcPr>
          <w:p w14:paraId="36350E4C"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2"/>
            <w:tcBorders>
              <w:top w:val="single" w:sz="8" w:space="0" w:color="auto"/>
              <w:left w:val="single" w:sz="8" w:space="0" w:color="auto"/>
              <w:bottom w:val="single" w:sz="8" w:space="0" w:color="auto"/>
              <w:right w:val="single" w:sz="8" w:space="0" w:color="auto"/>
            </w:tcBorders>
            <w:noWrap/>
            <w:vAlign w:val="bottom"/>
          </w:tcPr>
          <w:p w14:paraId="2C724203"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4"/>
            <w:tcBorders>
              <w:top w:val="single" w:sz="8" w:space="0" w:color="auto"/>
              <w:left w:val="single" w:sz="8" w:space="0" w:color="auto"/>
              <w:bottom w:val="single" w:sz="8" w:space="0" w:color="auto"/>
              <w:right w:val="single" w:sz="8" w:space="0" w:color="auto"/>
            </w:tcBorders>
            <w:noWrap/>
            <w:vAlign w:val="bottom"/>
          </w:tcPr>
          <w:p w14:paraId="365B2A88"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gridSpan w:val="3"/>
            <w:tcBorders>
              <w:top w:val="single" w:sz="8" w:space="0" w:color="auto"/>
              <w:left w:val="single" w:sz="8" w:space="0" w:color="auto"/>
              <w:bottom w:val="single" w:sz="8" w:space="0" w:color="auto"/>
              <w:right w:val="single" w:sz="8" w:space="0" w:color="auto"/>
            </w:tcBorders>
            <w:noWrap/>
            <w:vAlign w:val="bottom"/>
          </w:tcPr>
          <w:p w14:paraId="627B7B25" w14:textId="77777777" w:rsidR="00A67B90" w:rsidRPr="009C42C7" w:rsidRDefault="00A67B90" w:rsidP="00E439D8">
            <w:pPr>
              <w:rPr>
                <w:rFonts w:ascii="Arial" w:hAnsi="Arial" w:cs="Arial"/>
                <w:sz w:val="16"/>
                <w:szCs w:val="16"/>
              </w:rPr>
            </w:pPr>
            <w:r>
              <w:rPr>
                <w:rFonts w:ascii="Arial" w:hAnsi="Arial" w:cs="Arial"/>
                <w:sz w:val="16"/>
                <w:szCs w:val="16"/>
              </w:rPr>
              <w:t>N/A</w:t>
            </w:r>
          </w:p>
        </w:tc>
      </w:tr>
      <w:tr w:rsidR="00A67B90" w:rsidRPr="00C733C8" w14:paraId="0789749A" w14:textId="77777777" w:rsidTr="00E439D8">
        <w:trPr>
          <w:gridAfter w:val="8"/>
          <w:wAfter w:w="12262" w:type="dxa"/>
          <w:trHeight w:val="402"/>
        </w:trPr>
        <w:tc>
          <w:tcPr>
            <w:tcW w:w="2340" w:type="dxa"/>
            <w:tcBorders>
              <w:top w:val="single" w:sz="8" w:space="0" w:color="auto"/>
              <w:left w:val="single" w:sz="8" w:space="0" w:color="auto"/>
              <w:bottom w:val="single" w:sz="8" w:space="0" w:color="auto"/>
              <w:right w:val="single" w:sz="8" w:space="0" w:color="auto"/>
            </w:tcBorders>
            <w:noWrap/>
            <w:vAlign w:val="bottom"/>
          </w:tcPr>
          <w:p w14:paraId="718ED166" w14:textId="77777777" w:rsidR="00A67B90" w:rsidRPr="009C42C7" w:rsidRDefault="00A67B90" w:rsidP="00E439D8">
            <w:pPr>
              <w:rPr>
                <w:rFonts w:ascii="Arial" w:hAnsi="Arial" w:cs="Arial"/>
                <w:sz w:val="16"/>
                <w:szCs w:val="16"/>
              </w:rPr>
            </w:pPr>
            <w:r>
              <w:rPr>
                <w:rFonts w:ascii="Arial" w:hAnsi="Arial" w:cs="Arial"/>
                <w:sz w:val="16"/>
                <w:szCs w:val="16"/>
              </w:rPr>
              <w:t>Nocona Hospital District</w:t>
            </w:r>
          </w:p>
        </w:tc>
        <w:tc>
          <w:tcPr>
            <w:tcW w:w="1260" w:type="dxa"/>
            <w:tcBorders>
              <w:top w:val="single" w:sz="8" w:space="0" w:color="auto"/>
              <w:left w:val="single" w:sz="8" w:space="0" w:color="auto"/>
              <w:bottom w:val="single" w:sz="8" w:space="0" w:color="auto"/>
              <w:right w:val="single" w:sz="8" w:space="0" w:color="auto"/>
            </w:tcBorders>
            <w:noWrap/>
            <w:vAlign w:val="bottom"/>
          </w:tcPr>
          <w:p w14:paraId="0F042028"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tcBorders>
              <w:top w:val="single" w:sz="8" w:space="0" w:color="auto"/>
              <w:left w:val="single" w:sz="8" w:space="0" w:color="auto"/>
              <w:bottom w:val="single" w:sz="8" w:space="0" w:color="auto"/>
              <w:right w:val="single" w:sz="8" w:space="0" w:color="auto"/>
            </w:tcBorders>
            <w:noWrap/>
            <w:vAlign w:val="bottom"/>
          </w:tcPr>
          <w:p w14:paraId="2C5259CD"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tcBorders>
              <w:top w:val="single" w:sz="8" w:space="0" w:color="auto"/>
              <w:left w:val="single" w:sz="8" w:space="0" w:color="auto"/>
              <w:bottom w:val="single" w:sz="8" w:space="0" w:color="auto"/>
              <w:right w:val="single" w:sz="8" w:space="0" w:color="auto"/>
            </w:tcBorders>
            <w:noWrap/>
            <w:vAlign w:val="bottom"/>
          </w:tcPr>
          <w:p w14:paraId="6E4BDAF2"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440" w:type="dxa"/>
            <w:gridSpan w:val="2"/>
            <w:tcBorders>
              <w:top w:val="single" w:sz="8" w:space="0" w:color="auto"/>
              <w:left w:val="single" w:sz="8" w:space="0" w:color="auto"/>
              <w:bottom w:val="single" w:sz="8" w:space="0" w:color="auto"/>
              <w:right w:val="single" w:sz="8" w:space="0" w:color="auto"/>
            </w:tcBorders>
            <w:noWrap/>
            <w:vAlign w:val="bottom"/>
          </w:tcPr>
          <w:p w14:paraId="6F1B6F12"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2"/>
            <w:tcBorders>
              <w:top w:val="single" w:sz="8" w:space="0" w:color="auto"/>
              <w:left w:val="single" w:sz="8" w:space="0" w:color="auto"/>
              <w:bottom w:val="single" w:sz="8" w:space="0" w:color="auto"/>
              <w:right w:val="single" w:sz="8" w:space="0" w:color="auto"/>
            </w:tcBorders>
            <w:noWrap/>
            <w:vAlign w:val="bottom"/>
          </w:tcPr>
          <w:p w14:paraId="0A80FACE"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980" w:type="dxa"/>
            <w:gridSpan w:val="4"/>
            <w:tcBorders>
              <w:top w:val="single" w:sz="8" w:space="0" w:color="auto"/>
              <w:left w:val="single" w:sz="8" w:space="0" w:color="auto"/>
              <w:bottom w:val="single" w:sz="8" w:space="0" w:color="auto"/>
              <w:right w:val="single" w:sz="8" w:space="0" w:color="auto"/>
            </w:tcBorders>
            <w:noWrap/>
            <w:vAlign w:val="bottom"/>
          </w:tcPr>
          <w:p w14:paraId="11226EA8" w14:textId="77777777" w:rsidR="00A67B90" w:rsidRPr="009C42C7" w:rsidRDefault="00A67B90" w:rsidP="00E439D8">
            <w:pPr>
              <w:rPr>
                <w:rFonts w:ascii="Arial" w:hAnsi="Arial" w:cs="Arial"/>
                <w:sz w:val="16"/>
                <w:szCs w:val="16"/>
              </w:rPr>
            </w:pPr>
            <w:r>
              <w:rPr>
                <w:rFonts w:ascii="Arial" w:hAnsi="Arial" w:cs="Arial"/>
                <w:sz w:val="16"/>
                <w:szCs w:val="16"/>
              </w:rPr>
              <w:t>N/A</w:t>
            </w:r>
          </w:p>
        </w:tc>
        <w:tc>
          <w:tcPr>
            <w:tcW w:w="1260" w:type="dxa"/>
            <w:gridSpan w:val="3"/>
            <w:tcBorders>
              <w:top w:val="single" w:sz="8" w:space="0" w:color="auto"/>
              <w:left w:val="single" w:sz="8" w:space="0" w:color="auto"/>
              <w:bottom w:val="single" w:sz="8" w:space="0" w:color="auto"/>
              <w:right w:val="single" w:sz="8" w:space="0" w:color="auto"/>
            </w:tcBorders>
            <w:noWrap/>
            <w:vAlign w:val="bottom"/>
          </w:tcPr>
          <w:p w14:paraId="70FBD0E2" w14:textId="77777777" w:rsidR="00A67B90" w:rsidRPr="009C42C7" w:rsidRDefault="00A67B90" w:rsidP="00E439D8">
            <w:pPr>
              <w:rPr>
                <w:rFonts w:ascii="Arial" w:hAnsi="Arial" w:cs="Arial"/>
                <w:sz w:val="16"/>
                <w:szCs w:val="16"/>
              </w:rPr>
            </w:pPr>
            <w:r>
              <w:rPr>
                <w:rFonts w:ascii="Arial" w:hAnsi="Arial" w:cs="Arial"/>
                <w:sz w:val="16"/>
                <w:szCs w:val="16"/>
              </w:rPr>
              <w:t>N/A</w:t>
            </w:r>
          </w:p>
        </w:tc>
      </w:tr>
      <w:tr w:rsidR="00A67B90" w:rsidRPr="00C733C8" w14:paraId="6768AA61" w14:textId="77777777" w:rsidTr="00E439D8">
        <w:trPr>
          <w:gridAfter w:val="6"/>
          <w:wAfter w:w="11217" w:type="dxa"/>
          <w:trHeight w:val="1105"/>
        </w:trPr>
        <w:tc>
          <w:tcPr>
            <w:tcW w:w="7701" w:type="dxa"/>
            <w:gridSpan w:val="5"/>
            <w:tcBorders>
              <w:top w:val="nil"/>
              <w:left w:val="nil"/>
              <w:bottom w:val="nil"/>
              <w:right w:val="nil"/>
            </w:tcBorders>
            <w:noWrap/>
            <w:vAlign w:val="bottom"/>
          </w:tcPr>
          <w:p w14:paraId="3F4AED38" w14:textId="77777777" w:rsidR="00A67B90" w:rsidRDefault="00A67B90" w:rsidP="00E439D8">
            <w:pPr>
              <w:rPr>
                <w:rFonts w:ascii="Arial" w:hAnsi="Arial" w:cs="Arial"/>
                <w:sz w:val="16"/>
                <w:szCs w:val="16"/>
              </w:rPr>
            </w:pPr>
          </w:p>
          <w:p w14:paraId="387B5CCE" w14:textId="77777777" w:rsidR="00A67B90" w:rsidRDefault="00A67B90" w:rsidP="00E439D8">
            <w:pPr>
              <w:rPr>
                <w:rFonts w:ascii="Arial" w:hAnsi="Arial" w:cs="Arial"/>
                <w:sz w:val="16"/>
                <w:szCs w:val="16"/>
              </w:rPr>
            </w:pPr>
          </w:p>
          <w:p w14:paraId="6FA40E0B" w14:textId="77777777" w:rsidR="00A67B90" w:rsidRDefault="00A67B90" w:rsidP="00E439D8">
            <w:pPr>
              <w:rPr>
                <w:rFonts w:ascii="Arial" w:hAnsi="Arial" w:cs="Arial"/>
                <w:sz w:val="16"/>
                <w:szCs w:val="16"/>
              </w:rPr>
            </w:pPr>
          </w:p>
          <w:p w14:paraId="03BBB994" w14:textId="77777777" w:rsidR="00A67B90" w:rsidRPr="003A04B1" w:rsidRDefault="00A67B90" w:rsidP="00E439D8">
            <w:pPr>
              <w:rPr>
                <w:rFonts w:ascii="Arial" w:hAnsi="Arial" w:cs="Arial"/>
                <w:b/>
                <w:sz w:val="16"/>
                <w:szCs w:val="16"/>
              </w:rPr>
            </w:pPr>
            <w:r w:rsidRPr="003A04B1">
              <w:rPr>
                <w:rFonts w:ascii="Arial" w:hAnsi="Arial" w:cs="Arial"/>
                <w:b/>
                <w:sz w:val="16"/>
                <w:szCs w:val="16"/>
              </w:rPr>
              <w:t>Disabled Veteran Exemptions:               Amount           Percentage</w:t>
            </w:r>
          </w:p>
          <w:p w14:paraId="53CB26BA" w14:textId="77777777" w:rsidR="00A67B90" w:rsidRDefault="00A67B90" w:rsidP="00E439D8">
            <w:pPr>
              <w:rPr>
                <w:rFonts w:ascii="Arial" w:hAnsi="Arial" w:cs="Arial"/>
                <w:sz w:val="16"/>
                <w:szCs w:val="16"/>
              </w:rPr>
            </w:pPr>
          </w:p>
          <w:p w14:paraId="33997DBF" w14:textId="77777777" w:rsidR="00A67B90" w:rsidRDefault="00A67B90" w:rsidP="00E439D8">
            <w:pPr>
              <w:rPr>
                <w:rFonts w:ascii="Arial" w:hAnsi="Arial" w:cs="Arial"/>
                <w:sz w:val="16"/>
                <w:szCs w:val="16"/>
              </w:rPr>
            </w:pPr>
            <w:r>
              <w:rPr>
                <w:rFonts w:ascii="Arial" w:hAnsi="Arial" w:cs="Arial"/>
                <w:sz w:val="16"/>
                <w:szCs w:val="16"/>
              </w:rPr>
              <w:t>DV                                                           $ 5,000             10% - 29%</w:t>
            </w:r>
          </w:p>
          <w:p w14:paraId="2279C980" w14:textId="77777777" w:rsidR="00A67B90" w:rsidRDefault="00A67B90" w:rsidP="00E439D8">
            <w:pPr>
              <w:rPr>
                <w:rFonts w:ascii="Arial" w:hAnsi="Arial" w:cs="Arial"/>
                <w:sz w:val="16"/>
                <w:szCs w:val="16"/>
              </w:rPr>
            </w:pPr>
          </w:p>
          <w:p w14:paraId="3534076C" w14:textId="77777777" w:rsidR="00A67B90" w:rsidRDefault="00A67B90" w:rsidP="00E439D8">
            <w:pPr>
              <w:rPr>
                <w:rFonts w:ascii="Arial" w:hAnsi="Arial" w:cs="Arial"/>
                <w:sz w:val="16"/>
                <w:szCs w:val="16"/>
              </w:rPr>
            </w:pPr>
            <w:r>
              <w:rPr>
                <w:rFonts w:ascii="Arial" w:hAnsi="Arial" w:cs="Arial"/>
                <w:sz w:val="16"/>
                <w:szCs w:val="16"/>
              </w:rPr>
              <w:t>DV2                                                         $7,500              30% - 49%</w:t>
            </w:r>
          </w:p>
          <w:p w14:paraId="280D7E7F" w14:textId="77777777" w:rsidR="00A67B90" w:rsidRDefault="00A67B90" w:rsidP="00E439D8">
            <w:pPr>
              <w:rPr>
                <w:rFonts w:ascii="Arial" w:hAnsi="Arial" w:cs="Arial"/>
                <w:sz w:val="16"/>
                <w:szCs w:val="16"/>
              </w:rPr>
            </w:pPr>
          </w:p>
          <w:p w14:paraId="28BA93D2" w14:textId="77777777" w:rsidR="00A67B90" w:rsidRDefault="00A67B90" w:rsidP="00E439D8">
            <w:pPr>
              <w:rPr>
                <w:rFonts w:ascii="Arial" w:hAnsi="Arial" w:cs="Arial"/>
                <w:sz w:val="16"/>
                <w:szCs w:val="16"/>
              </w:rPr>
            </w:pPr>
            <w:r>
              <w:rPr>
                <w:rFonts w:ascii="Arial" w:hAnsi="Arial" w:cs="Arial"/>
                <w:sz w:val="16"/>
                <w:szCs w:val="16"/>
              </w:rPr>
              <w:t>DV3                                                        $10,000             50% - 69%</w:t>
            </w:r>
          </w:p>
          <w:p w14:paraId="18C5B649" w14:textId="77777777" w:rsidR="00A67B90" w:rsidRDefault="00A67B90" w:rsidP="00E439D8">
            <w:pPr>
              <w:rPr>
                <w:rFonts w:ascii="Arial" w:hAnsi="Arial" w:cs="Arial"/>
                <w:sz w:val="16"/>
                <w:szCs w:val="16"/>
              </w:rPr>
            </w:pPr>
          </w:p>
          <w:p w14:paraId="73EEBD92" w14:textId="77777777" w:rsidR="00A67B90" w:rsidRDefault="00A67B90" w:rsidP="00E439D8">
            <w:pPr>
              <w:rPr>
                <w:rFonts w:ascii="Arial" w:hAnsi="Arial" w:cs="Arial"/>
                <w:sz w:val="16"/>
                <w:szCs w:val="16"/>
              </w:rPr>
            </w:pPr>
            <w:r>
              <w:rPr>
                <w:rFonts w:ascii="Arial" w:hAnsi="Arial" w:cs="Arial"/>
                <w:sz w:val="16"/>
                <w:szCs w:val="16"/>
              </w:rPr>
              <w:t>DV4                                                        $12,000             70% - 100%</w:t>
            </w:r>
          </w:p>
          <w:p w14:paraId="28EB8CF1" w14:textId="77777777" w:rsidR="00A67B90" w:rsidRDefault="00A67B90" w:rsidP="00E439D8">
            <w:pPr>
              <w:rPr>
                <w:rFonts w:ascii="Arial" w:hAnsi="Arial" w:cs="Arial"/>
                <w:sz w:val="16"/>
                <w:szCs w:val="16"/>
              </w:rPr>
            </w:pPr>
          </w:p>
          <w:p w14:paraId="6F8AB99D" w14:textId="77777777" w:rsidR="00A67B90" w:rsidRDefault="00A67B90" w:rsidP="00E439D8">
            <w:pPr>
              <w:rPr>
                <w:rFonts w:ascii="Arial" w:hAnsi="Arial" w:cs="Arial"/>
                <w:sz w:val="16"/>
                <w:szCs w:val="16"/>
              </w:rPr>
            </w:pPr>
            <w:r>
              <w:rPr>
                <w:rFonts w:ascii="Arial" w:hAnsi="Arial" w:cs="Arial"/>
                <w:sz w:val="16"/>
                <w:szCs w:val="16"/>
              </w:rPr>
              <w:t>DVHS                                               Totally Exempt              100%</w:t>
            </w:r>
          </w:p>
          <w:p w14:paraId="37FFA17D" w14:textId="77777777" w:rsidR="00A67B90" w:rsidRPr="009C42C7" w:rsidRDefault="00A67B90" w:rsidP="00E439D8">
            <w:pPr>
              <w:rPr>
                <w:rFonts w:ascii="Arial" w:hAnsi="Arial" w:cs="Arial"/>
                <w:sz w:val="16"/>
                <w:szCs w:val="16"/>
              </w:rPr>
            </w:pPr>
          </w:p>
        </w:tc>
        <w:tc>
          <w:tcPr>
            <w:tcW w:w="1315" w:type="dxa"/>
            <w:gridSpan w:val="2"/>
            <w:tcBorders>
              <w:top w:val="nil"/>
              <w:left w:val="nil"/>
              <w:bottom w:val="nil"/>
              <w:right w:val="nil"/>
            </w:tcBorders>
            <w:noWrap/>
            <w:vAlign w:val="center"/>
          </w:tcPr>
          <w:p w14:paraId="64E31026" w14:textId="77777777" w:rsidR="00A67B90" w:rsidRPr="009C42C7" w:rsidRDefault="00A67B90" w:rsidP="00E439D8">
            <w:pPr>
              <w:rPr>
                <w:rFonts w:ascii="Arial" w:hAnsi="Arial" w:cs="Arial"/>
                <w:sz w:val="16"/>
                <w:szCs w:val="16"/>
              </w:rPr>
            </w:pPr>
          </w:p>
        </w:tc>
        <w:tc>
          <w:tcPr>
            <w:tcW w:w="1079" w:type="dxa"/>
            <w:gridSpan w:val="2"/>
            <w:tcBorders>
              <w:top w:val="nil"/>
              <w:left w:val="nil"/>
              <w:bottom w:val="nil"/>
              <w:right w:val="nil"/>
            </w:tcBorders>
            <w:noWrap/>
            <w:vAlign w:val="center"/>
          </w:tcPr>
          <w:p w14:paraId="75EF768A" w14:textId="77777777" w:rsidR="00A67B90" w:rsidRPr="009C42C7" w:rsidRDefault="00A67B90" w:rsidP="00E439D8">
            <w:pPr>
              <w:rPr>
                <w:rFonts w:ascii="Arial" w:hAnsi="Arial" w:cs="Arial"/>
                <w:sz w:val="16"/>
                <w:szCs w:val="16"/>
              </w:rPr>
            </w:pPr>
          </w:p>
        </w:tc>
        <w:tc>
          <w:tcPr>
            <w:tcW w:w="963" w:type="dxa"/>
            <w:tcBorders>
              <w:top w:val="nil"/>
              <w:left w:val="nil"/>
              <w:bottom w:val="nil"/>
              <w:right w:val="nil"/>
            </w:tcBorders>
            <w:noWrap/>
            <w:vAlign w:val="bottom"/>
          </w:tcPr>
          <w:p w14:paraId="7EA38C2F" w14:textId="77777777" w:rsidR="00A67B90" w:rsidRPr="009C42C7" w:rsidRDefault="00A67B90" w:rsidP="00E439D8">
            <w:pPr>
              <w:rPr>
                <w:rFonts w:ascii="Arial" w:hAnsi="Arial" w:cs="Arial"/>
                <w:sz w:val="16"/>
                <w:szCs w:val="16"/>
              </w:rPr>
            </w:pPr>
          </w:p>
        </w:tc>
        <w:tc>
          <w:tcPr>
            <w:tcW w:w="865" w:type="dxa"/>
            <w:gridSpan w:val="3"/>
            <w:tcBorders>
              <w:top w:val="nil"/>
              <w:left w:val="nil"/>
              <w:bottom w:val="nil"/>
              <w:right w:val="nil"/>
            </w:tcBorders>
            <w:noWrap/>
            <w:vAlign w:val="bottom"/>
          </w:tcPr>
          <w:p w14:paraId="6345D13F" w14:textId="77777777" w:rsidR="00A67B90" w:rsidRPr="009C42C7" w:rsidRDefault="00A67B90" w:rsidP="00E439D8">
            <w:pPr>
              <w:rPr>
                <w:rFonts w:ascii="Arial" w:hAnsi="Arial" w:cs="Arial"/>
                <w:sz w:val="16"/>
                <w:szCs w:val="16"/>
              </w:rPr>
            </w:pPr>
          </w:p>
        </w:tc>
        <w:tc>
          <w:tcPr>
            <w:tcW w:w="963" w:type="dxa"/>
            <w:tcBorders>
              <w:top w:val="nil"/>
              <w:left w:val="nil"/>
              <w:bottom w:val="nil"/>
              <w:right w:val="nil"/>
            </w:tcBorders>
            <w:noWrap/>
            <w:vAlign w:val="bottom"/>
          </w:tcPr>
          <w:p w14:paraId="08794691" w14:textId="77777777" w:rsidR="00A67B90" w:rsidRPr="009C42C7" w:rsidRDefault="00A67B90" w:rsidP="00E439D8">
            <w:pPr>
              <w:rPr>
                <w:rFonts w:ascii="Arial" w:hAnsi="Arial" w:cs="Arial"/>
                <w:sz w:val="16"/>
                <w:szCs w:val="16"/>
              </w:rPr>
            </w:pPr>
          </w:p>
        </w:tc>
        <w:tc>
          <w:tcPr>
            <w:tcW w:w="883" w:type="dxa"/>
            <w:gridSpan w:val="2"/>
            <w:tcBorders>
              <w:top w:val="nil"/>
              <w:left w:val="nil"/>
              <w:bottom w:val="nil"/>
              <w:right w:val="nil"/>
            </w:tcBorders>
            <w:noWrap/>
            <w:vAlign w:val="bottom"/>
          </w:tcPr>
          <w:p w14:paraId="2F94D2A3" w14:textId="77777777" w:rsidR="00A67B90" w:rsidRPr="009C42C7" w:rsidRDefault="00A67B90" w:rsidP="00E439D8">
            <w:pPr>
              <w:rPr>
                <w:rFonts w:ascii="Arial" w:hAnsi="Arial" w:cs="Arial"/>
                <w:sz w:val="16"/>
                <w:szCs w:val="16"/>
              </w:rPr>
            </w:pPr>
          </w:p>
        </w:tc>
        <w:tc>
          <w:tcPr>
            <w:tcW w:w="236" w:type="dxa"/>
            <w:tcBorders>
              <w:top w:val="nil"/>
              <w:left w:val="nil"/>
              <w:bottom w:val="nil"/>
              <w:right w:val="nil"/>
            </w:tcBorders>
            <w:noWrap/>
            <w:vAlign w:val="bottom"/>
          </w:tcPr>
          <w:p w14:paraId="7B618643" w14:textId="77777777" w:rsidR="00A67B90" w:rsidRPr="009C42C7" w:rsidRDefault="00A67B90" w:rsidP="00E439D8">
            <w:pPr>
              <w:rPr>
                <w:rFonts w:ascii="Arial" w:hAnsi="Arial" w:cs="Arial"/>
                <w:sz w:val="16"/>
                <w:szCs w:val="16"/>
              </w:rPr>
            </w:pPr>
          </w:p>
        </w:tc>
      </w:tr>
      <w:tr w:rsidR="00A67B90" w:rsidRPr="00C733C8" w14:paraId="3A910BA7" w14:textId="77777777" w:rsidTr="00E439D8">
        <w:trPr>
          <w:gridAfter w:val="9"/>
          <w:wAfter w:w="12336" w:type="dxa"/>
          <w:trHeight w:val="402"/>
        </w:trPr>
        <w:tc>
          <w:tcPr>
            <w:tcW w:w="7701" w:type="dxa"/>
            <w:gridSpan w:val="5"/>
            <w:tcBorders>
              <w:top w:val="nil"/>
              <w:left w:val="nil"/>
              <w:bottom w:val="nil"/>
              <w:right w:val="nil"/>
            </w:tcBorders>
            <w:noWrap/>
            <w:vAlign w:val="bottom"/>
          </w:tcPr>
          <w:p w14:paraId="355D36C3" w14:textId="77777777" w:rsidR="00A67B90" w:rsidRPr="009C42C7" w:rsidRDefault="00A67B90" w:rsidP="00E439D8">
            <w:pPr>
              <w:rPr>
                <w:rFonts w:ascii="Arial" w:hAnsi="Arial" w:cs="Arial"/>
                <w:sz w:val="16"/>
                <w:szCs w:val="16"/>
              </w:rPr>
            </w:pPr>
            <w:r w:rsidRPr="009C42C7">
              <w:rPr>
                <w:rFonts w:ascii="Arial" w:hAnsi="Arial" w:cs="Arial"/>
                <w:sz w:val="16"/>
                <w:szCs w:val="16"/>
              </w:rPr>
              <w:t>* The Local Percent is only applied to the General Homestead Exemption.</w:t>
            </w:r>
          </w:p>
        </w:tc>
        <w:tc>
          <w:tcPr>
            <w:tcW w:w="1315" w:type="dxa"/>
            <w:gridSpan w:val="2"/>
            <w:tcBorders>
              <w:top w:val="nil"/>
              <w:left w:val="nil"/>
              <w:bottom w:val="nil"/>
              <w:right w:val="nil"/>
            </w:tcBorders>
            <w:noWrap/>
            <w:vAlign w:val="bottom"/>
          </w:tcPr>
          <w:p w14:paraId="540AA36A" w14:textId="77777777" w:rsidR="00A67B90" w:rsidRPr="009C42C7" w:rsidRDefault="00A67B90" w:rsidP="00E439D8">
            <w:pPr>
              <w:rPr>
                <w:rFonts w:ascii="Arial" w:hAnsi="Arial" w:cs="Arial"/>
                <w:sz w:val="16"/>
                <w:szCs w:val="16"/>
              </w:rPr>
            </w:pPr>
          </w:p>
        </w:tc>
        <w:tc>
          <w:tcPr>
            <w:tcW w:w="1079" w:type="dxa"/>
            <w:gridSpan w:val="2"/>
            <w:tcBorders>
              <w:top w:val="nil"/>
              <w:left w:val="nil"/>
              <w:bottom w:val="nil"/>
              <w:right w:val="nil"/>
            </w:tcBorders>
            <w:noWrap/>
            <w:vAlign w:val="bottom"/>
          </w:tcPr>
          <w:p w14:paraId="372C0BC6" w14:textId="77777777" w:rsidR="00A67B90" w:rsidRPr="009C42C7" w:rsidRDefault="00A67B90" w:rsidP="00E439D8">
            <w:pPr>
              <w:rPr>
                <w:rFonts w:ascii="Arial" w:hAnsi="Arial" w:cs="Arial"/>
                <w:sz w:val="16"/>
                <w:szCs w:val="16"/>
              </w:rPr>
            </w:pPr>
          </w:p>
        </w:tc>
        <w:tc>
          <w:tcPr>
            <w:tcW w:w="963" w:type="dxa"/>
            <w:tcBorders>
              <w:top w:val="nil"/>
              <w:left w:val="nil"/>
              <w:bottom w:val="nil"/>
              <w:right w:val="nil"/>
            </w:tcBorders>
            <w:noWrap/>
            <w:vAlign w:val="bottom"/>
          </w:tcPr>
          <w:p w14:paraId="2FCC84D8" w14:textId="77777777" w:rsidR="00A67B90" w:rsidRPr="009C42C7" w:rsidRDefault="00A67B90" w:rsidP="00E439D8">
            <w:pPr>
              <w:rPr>
                <w:rFonts w:ascii="Arial" w:hAnsi="Arial" w:cs="Arial"/>
                <w:sz w:val="16"/>
                <w:szCs w:val="16"/>
              </w:rPr>
            </w:pPr>
          </w:p>
        </w:tc>
        <w:tc>
          <w:tcPr>
            <w:tcW w:w="865" w:type="dxa"/>
            <w:gridSpan w:val="3"/>
            <w:tcBorders>
              <w:top w:val="nil"/>
              <w:left w:val="nil"/>
              <w:bottom w:val="nil"/>
              <w:right w:val="nil"/>
            </w:tcBorders>
            <w:noWrap/>
            <w:vAlign w:val="bottom"/>
          </w:tcPr>
          <w:p w14:paraId="54112B1C" w14:textId="77777777" w:rsidR="00A67B90" w:rsidRPr="009C42C7" w:rsidRDefault="00A67B90" w:rsidP="00E439D8">
            <w:pPr>
              <w:rPr>
                <w:rFonts w:ascii="Arial" w:hAnsi="Arial" w:cs="Arial"/>
                <w:sz w:val="16"/>
                <w:szCs w:val="16"/>
              </w:rPr>
            </w:pPr>
          </w:p>
        </w:tc>
        <w:tc>
          <w:tcPr>
            <w:tcW w:w="963" w:type="dxa"/>
            <w:tcBorders>
              <w:top w:val="nil"/>
              <w:left w:val="nil"/>
              <w:bottom w:val="nil"/>
              <w:right w:val="nil"/>
            </w:tcBorders>
            <w:noWrap/>
            <w:vAlign w:val="bottom"/>
          </w:tcPr>
          <w:p w14:paraId="31AFA671" w14:textId="77777777" w:rsidR="00A67B90" w:rsidRPr="009C42C7" w:rsidRDefault="00A67B90" w:rsidP="00E439D8">
            <w:pPr>
              <w:rPr>
                <w:rFonts w:ascii="Arial" w:hAnsi="Arial" w:cs="Arial"/>
                <w:sz w:val="16"/>
                <w:szCs w:val="16"/>
              </w:rPr>
            </w:pPr>
          </w:p>
        </w:tc>
      </w:tr>
    </w:tbl>
    <w:p w14:paraId="6978CDE6" w14:textId="77777777" w:rsidR="00A67B90" w:rsidRDefault="00A67B90" w:rsidP="00A67B90">
      <w:pPr>
        <w:pStyle w:val="NoSpacing"/>
        <w:rPr>
          <w:rFonts w:ascii="Times New Roman" w:hAnsi="Times New Roman"/>
          <w:b/>
          <w:sz w:val="24"/>
          <w:szCs w:val="24"/>
        </w:rPr>
      </w:pPr>
    </w:p>
    <w:p w14:paraId="5A7FCE4A" w14:textId="77777777" w:rsidR="00A67B90" w:rsidRDefault="00A67B90" w:rsidP="00A67B90">
      <w:pPr>
        <w:pStyle w:val="NoSpacing"/>
        <w:rPr>
          <w:rFonts w:ascii="Times New Roman" w:hAnsi="Times New Roman"/>
          <w:sz w:val="24"/>
          <w:szCs w:val="24"/>
        </w:rPr>
      </w:pPr>
    </w:p>
    <w:p w14:paraId="7419CFA3" w14:textId="77777777" w:rsidR="00A67B90" w:rsidRDefault="00A67B90" w:rsidP="00A67B90">
      <w:pPr>
        <w:pStyle w:val="NoSpacing"/>
        <w:rPr>
          <w:rFonts w:ascii="Times New Roman" w:hAnsi="Times New Roman"/>
          <w:b/>
          <w:sz w:val="24"/>
          <w:szCs w:val="24"/>
        </w:rPr>
      </w:pPr>
    </w:p>
    <w:p w14:paraId="1D3F897E" w14:textId="77777777" w:rsidR="00A67B90" w:rsidRDefault="00A67B90" w:rsidP="00A67B90">
      <w:pPr>
        <w:pStyle w:val="NoSpacing"/>
        <w:rPr>
          <w:rFonts w:ascii="Times New Roman" w:hAnsi="Times New Roman"/>
          <w:b/>
          <w:sz w:val="24"/>
          <w:szCs w:val="24"/>
        </w:rPr>
      </w:pPr>
    </w:p>
    <w:p w14:paraId="298A6231" w14:textId="77777777" w:rsidR="00A67B90" w:rsidRDefault="00A67B90" w:rsidP="00A67B90">
      <w:pPr>
        <w:pStyle w:val="NoSpacing"/>
        <w:rPr>
          <w:rFonts w:ascii="Times New Roman" w:hAnsi="Times New Roman"/>
          <w:b/>
          <w:sz w:val="24"/>
          <w:szCs w:val="24"/>
        </w:rPr>
      </w:pPr>
    </w:p>
    <w:p w14:paraId="3CE5CD37" w14:textId="77777777" w:rsidR="00A67B90" w:rsidRDefault="00A67B90" w:rsidP="00A67B90">
      <w:pPr>
        <w:pStyle w:val="NoSpacing"/>
        <w:rPr>
          <w:rFonts w:ascii="Times New Roman" w:hAnsi="Times New Roman"/>
          <w:b/>
          <w:sz w:val="24"/>
          <w:szCs w:val="24"/>
        </w:rPr>
      </w:pPr>
    </w:p>
    <w:p w14:paraId="56FE8188" w14:textId="77777777" w:rsidR="00A67B90" w:rsidRDefault="00A67B90" w:rsidP="00A67B90">
      <w:pPr>
        <w:pStyle w:val="NoSpacing"/>
        <w:rPr>
          <w:rFonts w:ascii="Times New Roman" w:hAnsi="Times New Roman"/>
          <w:b/>
          <w:sz w:val="24"/>
          <w:szCs w:val="24"/>
        </w:rPr>
      </w:pPr>
    </w:p>
    <w:p w14:paraId="7CBC3457" w14:textId="77777777" w:rsidR="00A67B90" w:rsidRDefault="00A67B90" w:rsidP="00A67B90">
      <w:pPr>
        <w:pStyle w:val="NoSpacing"/>
        <w:rPr>
          <w:rFonts w:ascii="Times New Roman" w:hAnsi="Times New Roman"/>
          <w:b/>
          <w:sz w:val="24"/>
          <w:szCs w:val="24"/>
        </w:rPr>
      </w:pPr>
    </w:p>
    <w:p w14:paraId="5B30EA0F" w14:textId="67E0CE23" w:rsidR="00A67B90" w:rsidRPr="00536C04" w:rsidRDefault="00A67B90" w:rsidP="00A67B90">
      <w:pPr>
        <w:pStyle w:val="NoSpacing"/>
        <w:rPr>
          <w:rFonts w:ascii="Times New Roman" w:hAnsi="Times New Roman"/>
          <w:b/>
          <w:sz w:val="24"/>
          <w:szCs w:val="24"/>
        </w:rPr>
      </w:pPr>
      <w:r>
        <w:rPr>
          <w:rFonts w:ascii="Times New Roman" w:hAnsi="Times New Roman"/>
          <w:b/>
          <w:sz w:val="24"/>
          <w:szCs w:val="24"/>
        </w:rPr>
        <w:t>202</w:t>
      </w:r>
      <w:r w:rsidR="00196B95">
        <w:rPr>
          <w:rFonts w:ascii="Times New Roman" w:hAnsi="Times New Roman"/>
          <w:b/>
          <w:sz w:val="24"/>
          <w:szCs w:val="24"/>
        </w:rPr>
        <w:t>5</w:t>
      </w:r>
      <w:r w:rsidRPr="00536C04">
        <w:rPr>
          <w:rFonts w:ascii="Times New Roman" w:hAnsi="Times New Roman"/>
          <w:b/>
          <w:sz w:val="24"/>
          <w:szCs w:val="24"/>
        </w:rPr>
        <w:t xml:space="preserve"> </w:t>
      </w:r>
      <w:r>
        <w:rPr>
          <w:rFonts w:ascii="Times New Roman" w:hAnsi="Times New Roman"/>
          <w:b/>
          <w:sz w:val="24"/>
          <w:szCs w:val="24"/>
        </w:rPr>
        <w:t xml:space="preserve">ARB </w:t>
      </w:r>
      <w:r w:rsidRPr="00536C04">
        <w:rPr>
          <w:rFonts w:ascii="Times New Roman" w:hAnsi="Times New Roman"/>
          <w:b/>
          <w:sz w:val="24"/>
          <w:szCs w:val="24"/>
        </w:rPr>
        <w:t>Hearings:</w:t>
      </w:r>
    </w:p>
    <w:p w14:paraId="7E903669" w14:textId="77777777" w:rsidR="00A67B90" w:rsidRDefault="00A67B90" w:rsidP="00A67B90">
      <w:pPr>
        <w:pStyle w:val="NoSpacing"/>
        <w:rPr>
          <w:rFonts w:ascii="Times New Roman" w:hAnsi="Times New Roman"/>
          <w:sz w:val="24"/>
          <w:szCs w:val="24"/>
        </w:rPr>
      </w:pPr>
    </w:p>
    <w:p w14:paraId="7D8448BC" w14:textId="2070374C" w:rsidR="00A67B90" w:rsidRDefault="00A67B90" w:rsidP="00A67B90">
      <w:pPr>
        <w:pStyle w:val="NoSpacing"/>
        <w:rPr>
          <w:rFonts w:ascii="Times New Roman" w:hAnsi="Times New Roman"/>
          <w:sz w:val="24"/>
          <w:szCs w:val="24"/>
        </w:rPr>
      </w:pPr>
      <w:r>
        <w:rPr>
          <w:rFonts w:ascii="Times New Roman" w:hAnsi="Times New Roman"/>
          <w:sz w:val="24"/>
          <w:szCs w:val="24"/>
        </w:rPr>
        <w:t>2</w:t>
      </w:r>
      <w:r w:rsidR="00E54C11">
        <w:rPr>
          <w:rFonts w:ascii="Times New Roman" w:hAnsi="Times New Roman"/>
          <w:sz w:val="24"/>
          <w:szCs w:val="24"/>
        </w:rPr>
        <w:t>648</w:t>
      </w:r>
      <w:r>
        <w:rPr>
          <w:rFonts w:ascii="Times New Roman" w:hAnsi="Times New Roman"/>
          <w:sz w:val="24"/>
          <w:szCs w:val="24"/>
        </w:rPr>
        <w:t xml:space="preserve"> protest filed-Real Property </w:t>
      </w:r>
    </w:p>
    <w:p w14:paraId="56E75865" w14:textId="716F5D67" w:rsidR="00A67B90" w:rsidRDefault="00A67B90" w:rsidP="00A67B90">
      <w:pPr>
        <w:pStyle w:val="NoSpacing"/>
        <w:numPr>
          <w:ilvl w:val="0"/>
          <w:numId w:val="3"/>
        </w:numPr>
        <w:rPr>
          <w:rFonts w:ascii="Times New Roman" w:hAnsi="Times New Roman"/>
          <w:sz w:val="24"/>
          <w:szCs w:val="24"/>
        </w:rPr>
      </w:pPr>
      <w:proofErr w:type="gramStart"/>
      <w:r w:rsidRPr="00E11AF5">
        <w:rPr>
          <w:rFonts w:ascii="Times New Roman" w:hAnsi="Times New Roman"/>
          <w:sz w:val="24"/>
          <w:szCs w:val="24"/>
        </w:rPr>
        <w:t>Hearings</w:t>
      </w:r>
      <w:r>
        <w:rPr>
          <w:rFonts w:ascii="Times New Roman" w:hAnsi="Times New Roman"/>
          <w:sz w:val="24"/>
          <w:szCs w:val="24"/>
        </w:rPr>
        <w:t xml:space="preserve">  </w:t>
      </w:r>
      <w:r w:rsidR="00E54C11">
        <w:rPr>
          <w:rFonts w:ascii="Times New Roman" w:hAnsi="Times New Roman"/>
          <w:sz w:val="24"/>
          <w:szCs w:val="24"/>
        </w:rPr>
        <w:t>681</w:t>
      </w:r>
      <w:proofErr w:type="gramEnd"/>
      <w:r>
        <w:rPr>
          <w:rFonts w:ascii="Times New Roman" w:hAnsi="Times New Roman"/>
          <w:sz w:val="24"/>
          <w:szCs w:val="24"/>
        </w:rPr>
        <w:t xml:space="preserve"> </w:t>
      </w:r>
      <w:proofErr w:type="gramStart"/>
      <w:r>
        <w:rPr>
          <w:rFonts w:ascii="Times New Roman" w:hAnsi="Times New Roman"/>
          <w:sz w:val="24"/>
          <w:szCs w:val="24"/>
        </w:rPr>
        <w:t>R,P</w:t>
      </w:r>
      <w:proofErr w:type="gramEnd"/>
      <w:r>
        <w:rPr>
          <w:rFonts w:ascii="Times New Roman" w:hAnsi="Times New Roman"/>
          <w:sz w:val="24"/>
          <w:szCs w:val="24"/>
        </w:rPr>
        <w:t>,M</w:t>
      </w:r>
    </w:p>
    <w:p w14:paraId="0436FD87" w14:textId="19460AE5" w:rsidR="00A67B90" w:rsidRDefault="00A67B90" w:rsidP="00A67B90">
      <w:pPr>
        <w:pStyle w:val="NoSpacing"/>
        <w:numPr>
          <w:ilvl w:val="0"/>
          <w:numId w:val="3"/>
        </w:numPr>
        <w:rPr>
          <w:rFonts w:ascii="Times New Roman" w:hAnsi="Times New Roman"/>
          <w:sz w:val="24"/>
          <w:szCs w:val="24"/>
        </w:rPr>
      </w:pPr>
      <w:r>
        <w:rPr>
          <w:rFonts w:ascii="Times New Roman" w:hAnsi="Times New Roman"/>
          <w:sz w:val="24"/>
          <w:szCs w:val="24"/>
        </w:rPr>
        <w:t>F</w:t>
      </w:r>
      <w:r w:rsidRPr="00E11AF5">
        <w:rPr>
          <w:rFonts w:ascii="Times New Roman" w:hAnsi="Times New Roman"/>
          <w:sz w:val="24"/>
          <w:szCs w:val="24"/>
        </w:rPr>
        <w:t>ormal settlements/</w:t>
      </w:r>
      <w:proofErr w:type="gramStart"/>
      <w:r w:rsidRPr="00E11AF5">
        <w:rPr>
          <w:rFonts w:ascii="Times New Roman" w:hAnsi="Times New Roman"/>
          <w:sz w:val="24"/>
          <w:szCs w:val="24"/>
        </w:rPr>
        <w:t xml:space="preserve">withdrawal  </w:t>
      </w:r>
      <w:r w:rsidR="00E54C11">
        <w:rPr>
          <w:rFonts w:ascii="Times New Roman" w:hAnsi="Times New Roman"/>
          <w:sz w:val="24"/>
          <w:szCs w:val="24"/>
        </w:rPr>
        <w:t>1,542</w:t>
      </w:r>
      <w:proofErr w:type="gramEnd"/>
      <w:r>
        <w:rPr>
          <w:rFonts w:ascii="Times New Roman" w:hAnsi="Times New Roman"/>
          <w:sz w:val="24"/>
          <w:szCs w:val="24"/>
        </w:rPr>
        <w:t xml:space="preserve"> </w:t>
      </w:r>
      <w:proofErr w:type="gramStart"/>
      <w:r>
        <w:rPr>
          <w:rFonts w:ascii="Times New Roman" w:hAnsi="Times New Roman"/>
          <w:sz w:val="24"/>
          <w:szCs w:val="24"/>
        </w:rPr>
        <w:t>R,P</w:t>
      </w:r>
      <w:proofErr w:type="gramEnd"/>
      <w:r>
        <w:rPr>
          <w:rFonts w:ascii="Times New Roman" w:hAnsi="Times New Roman"/>
          <w:sz w:val="24"/>
          <w:szCs w:val="24"/>
        </w:rPr>
        <w:t>,M</w:t>
      </w:r>
      <w:r w:rsidRPr="00E11AF5">
        <w:rPr>
          <w:rFonts w:ascii="Times New Roman" w:hAnsi="Times New Roman"/>
          <w:sz w:val="24"/>
          <w:szCs w:val="24"/>
        </w:rPr>
        <w:t xml:space="preserve">  </w:t>
      </w:r>
    </w:p>
    <w:p w14:paraId="4CA8C78F" w14:textId="77777777" w:rsidR="00A67B90" w:rsidRDefault="00A67B90" w:rsidP="00A67B90">
      <w:pPr>
        <w:pStyle w:val="NoSpacing"/>
        <w:numPr>
          <w:ilvl w:val="0"/>
          <w:numId w:val="3"/>
        </w:numPr>
        <w:rPr>
          <w:rFonts w:ascii="Times New Roman" w:hAnsi="Times New Roman"/>
          <w:sz w:val="24"/>
          <w:szCs w:val="24"/>
        </w:rPr>
      </w:pPr>
      <w:r>
        <w:rPr>
          <w:rFonts w:ascii="Times New Roman" w:hAnsi="Times New Roman"/>
          <w:sz w:val="24"/>
          <w:szCs w:val="24"/>
        </w:rPr>
        <w:t>No</w:t>
      </w:r>
      <w:r w:rsidRPr="00E11AF5">
        <w:rPr>
          <w:rFonts w:ascii="Times New Roman" w:hAnsi="Times New Roman"/>
          <w:sz w:val="24"/>
          <w:szCs w:val="24"/>
        </w:rPr>
        <w:t xml:space="preserve"> shows</w:t>
      </w:r>
      <w:r>
        <w:rPr>
          <w:rFonts w:ascii="Times New Roman" w:hAnsi="Times New Roman"/>
          <w:sz w:val="24"/>
          <w:szCs w:val="24"/>
        </w:rPr>
        <w:t xml:space="preserve"> 159 </w:t>
      </w:r>
      <w:proofErr w:type="gramStart"/>
      <w:r>
        <w:rPr>
          <w:rFonts w:ascii="Times New Roman" w:hAnsi="Times New Roman"/>
          <w:sz w:val="24"/>
          <w:szCs w:val="24"/>
        </w:rPr>
        <w:t>R,P</w:t>
      </w:r>
      <w:proofErr w:type="gramEnd"/>
      <w:r>
        <w:rPr>
          <w:rFonts w:ascii="Times New Roman" w:hAnsi="Times New Roman"/>
          <w:sz w:val="24"/>
          <w:szCs w:val="24"/>
        </w:rPr>
        <w:t>,M</w:t>
      </w:r>
    </w:p>
    <w:p w14:paraId="01FC968A" w14:textId="77777777" w:rsidR="00A67B90" w:rsidRPr="00E11AF5" w:rsidRDefault="00A67B90" w:rsidP="00A67B90">
      <w:pPr>
        <w:pStyle w:val="NoSpacing"/>
        <w:numPr>
          <w:ilvl w:val="0"/>
          <w:numId w:val="3"/>
        </w:numPr>
        <w:rPr>
          <w:rFonts w:ascii="Times New Roman" w:hAnsi="Times New Roman"/>
          <w:sz w:val="24"/>
          <w:szCs w:val="24"/>
        </w:rPr>
      </w:pPr>
      <w:r>
        <w:rPr>
          <w:rFonts w:ascii="Times New Roman" w:hAnsi="Times New Roman"/>
          <w:sz w:val="24"/>
          <w:szCs w:val="24"/>
        </w:rPr>
        <w:t>Informal hearings 694 R</w:t>
      </w:r>
    </w:p>
    <w:p w14:paraId="5227DA96" w14:textId="77777777" w:rsidR="00A67B90" w:rsidRDefault="00A67B90" w:rsidP="00A67B90">
      <w:pPr>
        <w:pStyle w:val="NoSpacing"/>
        <w:rPr>
          <w:rFonts w:ascii="Times New Roman" w:hAnsi="Times New Roman"/>
          <w:sz w:val="24"/>
          <w:szCs w:val="24"/>
        </w:rPr>
      </w:pPr>
    </w:p>
    <w:p w14:paraId="5DF99E02" w14:textId="051DE315" w:rsidR="00A67B90" w:rsidRDefault="00A67B90" w:rsidP="00A67B90">
      <w:pPr>
        <w:pStyle w:val="NoSpacing"/>
        <w:rPr>
          <w:rFonts w:ascii="Times New Roman" w:hAnsi="Times New Roman"/>
          <w:sz w:val="24"/>
          <w:szCs w:val="24"/>
        </w:rPr>
      </w:pPr>
      <w:r>
        <w:rPr>
          <w:rFonts w:ascii="Times New Roman" w:hAnsi="Times New Roman"/>
          <w:sz w:val="24"/>
          <w:szCs w:val="24"/>
        </w:rPr>
        <w:t xml:space="preserve">     1</w:t>
      </w:r>
      <w:r w:rsidR="00E54C11">
        <w:rPr>
          <w:rFonts w:ascii="Times New Roman" w:hAnsi="Times New Roman"/>
          <w:sz w:val="24"/>
          <w:szCs w:val="24"/>
        </w:rPr>
        <w:t>,550</w:t>
      </w:r>
      <w:r>
        <w:rPr>
          <w:rFonts w:ascii="Times New Roman" w:hAnsi="Times New Roman"/>
          <w:sz w:val="24"/>
          <w:szCs w:val="24"/>
        </w:rPr>
        <w:t xml:space="preserve"> protests filed – Mineral/Industrial</w:t>
      </w:r>
    </w:p>
    <w:p w14:paraId="4C2FAAB0" w14:textId="77777777" w:rsidR="00A67B90" w:rsidRDefault="00A67B90" w:rsidP="00A67B90">
      <w:pPr>
        <w:pStyle w:val="NoSpacing"/>
        <w:rPr>
          <w:rFonts w:ascii="Times New Roman" w:hAnsi="Times New Roman"/>
          <w:sz w:val="24"/>
          <w:szCs w:val="24"/>
        </w:rPr>
      </w:pPr>
    </w:p>
    <w:p w14:paraId="5BB3F45B" w14:textId="77777777" w:rsidR="00A67B90" w:rsidRDefault="00A67B90" w:rsidP="00A67B90">
      <w:pPr>
        <w:pStyle w:val="NoSpacing"/>
        <w:rPr>
          <w:rFonts w:ascii="Times New Roman" w:hAnsi="Times New Roman"/>
          <w:sz w:val="24"/>
          <w:szCs w:val="24"/>
        </w:rPr>
      </w:pPr>
      <w:r>
        <w:rPr>
          <w:rFonts w:ascii="Times New Roman" w:hAnsi="Times New Roman"/>
          <w:sz w:val="24"/>
          <w:szCs w:val="24"/>
        </w:rPr>
        <w:t>Protest Reasons</w:t>
      </w:r>
    </w:p>
    <w:p w14:paraId="21B23FC5" w14:textId="77777777" w:rsidR="00A67B90" w:rsidRDefault="00A67B90" w:rsidP="00A67B90">
      <w:pPr>
        <w:pStyle w:val="NoSpacing"/>
        <w:rPr>
          <w:rFonts w:ascii="Times New Roman" w:hAnsi="Times New Roman"/>
          <w:sz w:val="24"/>
          <w:szCs w:val="24"/>
        </w:rPr>
      </w:pPr>
    </w:p>
    <w:p w14:paraId="4E4533F2" w14:textId="5CDD5769" w:rsidR="00A67B90" w:rsidRDefault="00E54C11" w:rsidP="00A67B90">
      <w:pPr>
        <w:pStyle w:val="NoSpacing"/>
        <w:rPr>
          <w:rFonts w:ascii="Times New Roman" w:hAnsi="Times New Roman"/>
          <w:sz w:val="24"/>
          <w:szCs w:val="24"/>
        </w:rPr>
      </w:pPr>
      <w:r>
        <w:rPr>
          <w:rFonts w:ascii="Times New Roman" w:hAnsi="Times New Roman"/>
          <w:sz w:val="24"/>
          <w:szCs w:val="24"/>
        </w:rPr>
        <w:t>42</w:t>
      </w:r>
      <w:r w:rsidR="00A67B90">
        <w:rPr>
          <w:rFonts w:ascii="Times New Roman" w:hAnsi="Times New Roman"/>
          <w:sz w:val="24"/>
          <w:szCs w:val="24"/>
        </w:rPr>
        <w:tab/>
        <w:t xml:space="preserve"> Denial of Exemptions</w:t>
      </w:r>
    </w:p>
    <w:p w14:paraId="4FE69A6A" w14:textId="71A82355" w:rsidR="00A67B90" w:rsidRDefault="00E54C11" w:rsidP="00A67B90">
      <w:pPr>
        <w:pStyle w:val="NoSpacing"/>
        <w:rPr>
          <w:rFonts w:ascii="Times New Roman" w:hAnsi="Times New Roman"/>
          <w:sz w:val="24"/>
          <w:szCs w:val="24"/>
        </w:rPr>
      </w:pPr>
      <w:r>
        <w:rPr>
          <w:rFonts w:ascii="Times New Roman" w:hAnsi="Times New Roman"/>
          <w:sz w:val="24"/>
          <w:szCs w:val="24"/>
        </w:rPr>
        <w:t>8</w:t>
      </w:r>
      <w:r w:rsidR="00A67B90">
        <w:rPr>
          <w:rFonts w:ascii="Times New Roman" w:hAnsi="Times New Roman"/>
          <w:sz w:val="24"/>
          <w:szCs w:val="24"/>
        </w:rPr>
        <w:tab/>
        <w:t xml:space="preserve"> Disaster Assessed</w:t>
      </w:r>
    </w:p>
    <w:p w14:paraId="5CBEA3A1" w14:textId="406C25B9" w:rsidR="00A67B90" w:rsidRDefault="00E54C11" w:rsidP="00A67B90">
      <w:pPr>
        <w:pStyle w:val="NoSpacing"/>
        <w:rPr>
          <w:rFonts w:ascii="Times New Roman" w:hAnsi="Times New Roman"/>
          <w:sz w:val="24"/>
          <w:szCs w:val="24"/>
        </w:rPr>
      </w:pPr>
      <w:r>
        <w:rPr>
          <w:rFonts w:ascii="Times New Roman" w:hAnsi="Times New Roman"/>
          <w:sz w:val="24"/>
          <w:szCs w:val="24"/>
        </w:rPr>
        <w:t>7</w:t>
      </w:r>
      <w:r w:rsidR="00A67B90">
        <w:rPr>
          <w:rFonts w:ascii="Times New Roman" w:hAnsi="Times New Roman"/>
          <w:sz w:val="24"/>
          <w:szCs w:val="24"/>
        </w:rPr>
        <w:tab/>
        <w:t xml:space="preserve"> Disaster Exemption</w:t>
      </w:r>
    </w:p>
    <w:p w14:paraId="18985080" w14:textId="2DF08987" w:rsidR="00A67B90" w:rsidRDefault="00E54C11" w:rsidP="00A67B90">
      <w:pPr>
        <w:pStyle w:val="NoSpacing"/>
        <w:rPr>
          <w:rFonts w:ascii="Times New Roman" w:hAnsi="Times New Roman"/>
          <w:sz w:val="24"/>
          <w:szCs w:val="24"/>
        </w:rPr>
      </w:pPr>
      <w:proofErr w:type="gramStart"/>
      <w:r>
        <w:rPr>
          <w:rFonts w:ascii="Times New Roman" w:hAnsi="Times New Roman"/>
          <w:sz w:val="24"/>
          <w:szCs w:val="24"/>
        </w:rPr>
        <w:t>29</w:t>
      </w:r>
      <w:r w:rsidR="00A67B90">
        <w:rPr>
          <w:rFonts w:ascii="Times New Roman" w:hAnsi="Times New Roman"/>
          <w:sz w:val="24"/>
          <w:szCs w:val="24"/>
        </w:rPr>
        <w:t xml:space="preserve">  </w:t>
      </w:r>
      <w:r w:rsidR="00A67B90">
        <w:rPr>
          <w:rFonts w:ascii="Times New Roman" w:hAnsi="Times New Roman"/>
          <w:sz w:val="24"/>
          <w:szCs w:val="24"/>
        </w:rPr>
        <w:tab/>
      </w:r>
      <w:proofErr w:type="gramEnd"/>
      <w:r w:rsidR="00A67B90">
        <w:rPr>
          <w:rFonts w:ascii="Times New Roman" w:hAnsi="Times New Roman"/>
          <w:sz w:val="24"/>
          <w:szCs w:val="24"/>
        </w:rPr>
        <w:t xml:space="preserve"> Failure to Notify</w:t>
      </w:r>
    </w:p>
    <w:p w14:paraId="2654FF64" w14:textId="755AE495" w:rsidR="00A67B90" w:rsidRDefault="00E54C11" w:rsidP="00A67B90">
      <w:pPr>
        <w:pStyle w:val="NoSpacing"/>
        <w:rPr>
          <w:rFonts w:ascii="Times New Roman" w:hAnsi="Times New Roman"/>
          <w:sz w:val="24"/>
          <w:szCs w:val="24"/>
        </w:rPr>
      </w:pPr>
      <w:r>
        <w:rPr>
          <w:rFonts w:ascii="Times New Roman" w:hAnsi="Times New Roman"/>
          <w:sz w:val="24"/>
          <w:szCs w:val="24"/>
        </w:rPr>
        <w:t>10</w:t>
      </w:r>
      <w:r w:rsidR="00A67B90">
        <w:rPr>
          <w:rFonts w:ascii="Times New Roman" w:hAnsi="Times New Roman"/>
          <w:sz w:val="24"/>
          <w:szCs w:val="24"/>
        </w:rPr>
        <w:tab/>
        <w:t xml:space="preserve"> Land Use Changed</w:t>
      </w:r>
    </w:p>
    <w:p w14:paraId="3EF8A035" w14:textId="77777777" w:rsidR="00E54C11" w:rsidRDefault="00E54C11" w:rsidP="00A67B90">
      <w:pPr>
        <w:pStyle w:val="NoSpacing"/>
        <w:rPr>
          <w:rFonts w:ascii="Times New Roman" w:hAnsi="Times New Roman"/>
          <w:sz w:val="24"/>
          <w:szCs w:val="24"/>
        </w:rPr>
      </w:pPr>
      <w:r>
        <w:rPr>
          <w:rFonts w:ascii="Times New Roman" w:hAnsi="Times New Roman"/>
          <w:sz w:val="24"/>
          <w:szCs w:val="24"/>
        </w:rPr>
        <w:t>25</w:t>
      </w:r>
      <w:r w:rsidR="00A67B90">
        <w:rPr>
          <w:rFonts w:ascii="Times New Roman" w:hAnsi="Times New Roman"/>
          <w:sz w:val="24"/>
          <w:szCs w:val="24"/>
        </w:rPr>
        <w:tab/>
        <w:t xml:space="preserve"> Legal Incorrect</w:t>
      </w:r>
    </w:p>
    <w:p w14:paraId="2BEE2698" w14:textId="22147AC4" w:rsidR="00A67B90" w:rsidRDefault="00E54C11" w:rsidP="00A67B90">
      <w:pPr>
        <w:pStyle w:val="NoSpacing"/>
        <w:rPr>
          <w:rFonts w:ascii="Times New Roman" w:hAnsi="Times New Roman"/>
          <w:sz w:val="24"/>
          <w:szCs w:val="24"/>
        </w:rPr>
      </w:pPr>
      <w:r>
        <w:rPr>
          <w:rFonts w:ascii="Times New Roman" w:hAnsi="Times New Roman"/>
          <w:sz w:val="24"/>
          <w:szCs w:val="24"/>
        </w:rPr>
        <w:t>2,583</w:t>
      </w:r>
      <w:r w:rsidR="00A67B90">
        <w:rPr>
          <w:rFonts w:ascii="Times New Roman" w:hAnsi="Times New Roman"/>
          <w:sz w:val="24"/>
          <w:szCs w:val="24"/>
        </w:rPr>
        <w:tab/>
        <w:t xml:space="preserve"> Market Value</w:t>
      </w:r>
    </w:p>
    <w:p w14:paraId="6A4B59C7" w14:textId="261E60BE" w:rsidR="00A67B90" w:rsidRDefault="00E54C11" w:rsidP="00A67B90">
      <w:pPr>
        <w:pStyle w:val="NoSpacing"/>
        <w:rPr>
          <w:rFonts w:ascii="Times New Roman" w:hAnsi="Times New Roman"/>
          <w:sz w:val="24"/>
          <w:szCs w:val="24"/>
        </w:rPr>
      </w:pPr>
      <w:r>
        <w:rPr>
          <w:rFonts w:ascii="Times New Roman" w:hAnsi="Times New Roman"/>
          <w:sz w:val="24"/>
          <w:szCs w:val="24"/>
        </w:rPr>
        <w:t>999</w:t>
      </w:r>
      <w:r w:rsidR="00A67B90">
        <w:rPr>
          <w:rFonts w:ascii="Times New Roman" w:hAnsi="Times New Roman"/>
          <w:sz w:val="24"/>
          <w:szCs w:val="24"/>
        </w:rPr>
        <w:tab/>
        <w:t xml:space="preserve"> Other</w:t>
      </w:r>
    </w:p>
    <w:p w14:paraId="67C008D9" w14:textId="773B4054" w:rsidR="00A67B90" w:rsidRDefault="00E54C11" w:rsidP="00A67B90">
      <w:pPr>
        <w:pStyle w:val="NoSpacing"/>
        <w:rPr>
          <w:rFonts w:ascii="Times New Roman" w:hAnsi="Times New Roman"/>
          <w:sz w:val="24"/>
          <w:szCs w:val="24"/>
        </w:rPr>
      </w:pPr>
      <w:r>
        <w:rPr>
          <w:rFonts w:ascii="Times New Roman" w:hAnsi="Times New Roman"/>
          <w:sz w:val="24"/>
          <w:szCs w:val="24"/>
        </w:rPr>
        <w:t>164</w:t>
      </w:r>
      <w:r w:rsidR="00A67B90">
        <w:rPr>
          <w:rFonts w:ascii="Times New Roman" w:hAnsi="Times New Roman"/>
          <w:sz w:val="24"/>
          <w:szCs w:val="24"/>
        </w:rPr>
        <w:tab/>
        <w:t xml:space="preserve"> Ownership Incorrect</w:t>
      </w:r>
    </w:p>
    <w:p w14:paraId="4D2059B4" w14:textId="588084FD" w:rsidR="00A67B90" w:rsidRDefault="00E54C11" w:rsidP="00A67B90">
      <w:pPr>
        <w:pStyle w:val="NoSpacing"/>
        <w:rPr>
          <w:rFonts w:ascii="Times New Roman" w:hAnsi="Times New Roman"/>
          <w:sz w:val="24"/>
          <w:szCs w:val="24"/>
        </w:rPr>
      </w:pPr>
      <w:r>
        <w:rPr>
          <w:rFonts w:ascii="Times New Roman" w:hAnsi="Times New Roman"/>
          <w:sz w:val="24"/>
          <w:szCs w:val="24"/>
        </w:rPr>
        <w:t>6</w:t>
      </w:r>
      <w:r w:rsidR="00A67B90">
        <w:rPr>
          <w:rFonts w:ascii="Times New Roman" w:hAnsi="Times New Roman"/>
          <w:sz w:val="24"/>
          <w:szCs w:val="24"/>
        </w:rPr>
        <w:t xml:space="preserve">           Should not be taxed</w:t>
      </w:r>
    </w:p>
    <w:p w14:paraId="6D1E254E" w14:textId="557AD44C" w:rsidR="00A67B90" w:rsidRDefault="00A67B90" w:rsidP="00A67B90">
      <w:pPr>
        <w:pStyle w:val="NoSpacing"/>
        <w:rPr>
          <w:rFonts w:ascii="Times New Roman" w:hAnsi="Times New Roman"/>
          <w:sz w:val="24"/>
          <w:szCs w:val="24"/>
        </w:rPr>
      </w:pPr>
      <w:r>
        <w:rPr>
          <w:rFonts w:ascii="Times New Roman" w:hAnsi="Times New Roman"/>
          <w:sz w:val="24"/>
          <w:szCs w:val="24"/>
        </w:rPr>
        <w:t>1</w:t>
      </w:r>
      <w:r w:rsidR="00E54C11">
        <w:rPr>
          <w:rFonts w:ascii="Times New Roman" w:hAnsi="Times New Roman"/>
          <w:sz w:val="24"/>
          <w:szCs w:val="24"/>
        </w:rPr>
        <w:t>3</w:t>
      </w:r>
      <w:r>
        <w:rPr>
          <w:rFonts w:ascii="Times New Roman" w:hAnsi="Times New Roman"/>
          <w:sz w:val="24"/>
          <w:szCs w:val="24"/>
        </w:rPr>
        <w:tab/>
        <w:t xml:space="preserve"> Special Denial </w:t>
      </w:r>
    </w:p>
    <w:p w14:paraId="388A1626" w14:textId="7ED31A08" w:rsidR="00A67B90" w:rsidRDefault="00E54C11" w:rsidP="00A67B90">
      <w:pPr>
        <w:pStyle w:val="NoSpacing"/>
        <w:rPr>
          <w:rFonts w:ascii="Times New Roman" w:hAnsi="Times New Roman"/>
          <w:sz w:val="24"/>
          <w:szCs w:val="24"/>
        </w:rPr>
      </w:pPr>
      <w:r>
        <w:rPr>
          <w:rFonts w:ascii="Times New Roman" w:hAnsi="Times New Roman"/>
          <w:sz w:val="24"/>
          <w:szCs w:val="24"/>
        </w:rPr>
        <w:t>0</w:t>
      </w:r>
      <w:r w:rsidR="00A67B90">
        <w:rPr>
          <w:rFonts w:ascii="Times New Roman" w:hAnsi="Times New Roman"/>
          <w:sz w:val="24"/>
          <w:szCs w:val="24"/>
        </w:rPr>
        <w:tab/>
        <w:t xml:space="preserve"> Unequal</w:t>
      </w:r>
      <w:r w:rsidR="00A67B90">
        <w:rPr>
          <w:rFonts w:ascii="Times New Roman" w:hAnsi="Times New Roman"/>
          <w:sz w:val="24"/>
          <w:szCs w:val="24"/>
        </w:rPr>
        <w:tab/>
      </w:r>
      <w:r w:rsidR="00A67B90">
        <w:rPr>
          <w:rFonts w:ascii="Times New Roman" w:hAnsi="Times New Roman"/>
          <w:sz w:val="24"/>
          <w:szCs w:val="24"/>
        </w:rPr>
        <w:tab/>
      </w:r>
    </w:p>
    <w:p w14:paraId="2480908A" w14:textId="77777777" w:rsidR="00A67B90" w:rsidRDefault="00A67B90" w:rsidP="00A67B90">
      <w:pPr>
        <w:pStyle w:val="NoSpacing"/>
        <w:rPr>
          <w:rFonts w:ascii="Times New Roman" w:hAnsi="Times New Roman"/>
          <w:sz w:val="24"/>
          <w:szCs w:val="24"/>
        </w:rPr>
      </w:pPr>
    </w:p>
    <w:p w14:paraId="7335C4B6" w14:textId="77777777" w:rsidR="00A67B90" w:rsidRDefault="00A67B90" w:rsidP="00A67B90">
      <w:pPr>
        <w:pStyle w:val="NoSpacing"/>
        <w:rPr>
          <w:rFonts w:ascii="Times New Roman" w:hAnsi="Times New Roman"/>
          <w:b/>
          <w:sz w:val="24"/>
          <w:szCs w:val="24"/>
        </w:rPr>
      </w:pPr>
    </w:p>
    <w:p w14:paraId="70C87E5D" w14:textId="77777777" w:rsidR="00A67B90" w:rsidRDefault="00A67B90" w:rsidP="00A67B90">
      <w:pPr>
        <w:pStyle w:val="NoSpacing"/>
        <w:rPr>
          <w:rFonts w:ascii="Times New Roman" w:hAnsi="Times New Roman"/>
          <w:b/>
          <w:sz w:val="24"/>
          <w:szCs w:val="24"/>
        </w:rPr>
      </w:pPr>
      <w:r>
        <w:rPr>
          <w:rFonts w:ascii="Times New Roman" w:hAnsi="Times New Roman"/>
          <w:b/>
          <w:sz w:val="24"/>
          <w:szCs w:val="24"/>
        </w:rPr>
        <w:t>Ratio Study Analysis:</w:t>
      </w:r>
    </w:p>
    <w:p w14:paraId="56A4A68D" w14:textId="77777777" w:rsidR="00A67B90" w:rsidRDefault="00A67B90" w:rsidP="00A67B90">
      <w:pPr>
        <w:pStyle w:val="NoSpacing"/>
        <w:rPr>
          <w:rFonts w:ascii="Times New Roman" w:hAnsi="Times New Roman"/>
          <w:b/>
          <w:sz w:val="24"/>
          <w:szCs w:val="24"/>
        </w:rPr>
      </w:pPr>
    </w:p>
    <w:p w14:paraId="0596574D" w14:textId="77777777" w:rsidR="00A67B90" w:rsidRDefault="00A67B90" w:rsidP="00A67B90">
      <w:pPr>
        <w:pStyle w:val="NoSpacing"/>
        <w:rPr>
          <w:rFonts w:ascii="Times New Roman" w:hAnsi="Times New Roman"/>
          <w:b/>
          <w:sz w:val="24"/>
          <w:szCs w:val="24"/>
        </w:rPr>
      </w:pPr>
    </w:p>
    <w:p w14:paraId="739FE3E9" w14:textId="33EC183D" w:rsidR="00A67B90" w:rsidRDefault="00A67B90" w:rsidP="00A67B90">
      <w:pPr>
        <w:pStyle w:val="NoSpacing"/>
        <w:rPr>
          <w:rFonts w:ascii="Times New Roman" w:hAnsi="Times New Roman"/>
          <w:sz w:val="24"/>
          <w:szCs w:val="24"/>
        </w:rPr>
      </w:pPr>
      <w:r>
        <w:rPr>
          <w:rFonts w:ascii="Times New Roman" w:hAnsi="Times New Roman"/>
          <w:sz w:val="24"/>
          <w:szCs w:val="24"/>
        </w:rPr>
        <w:t>The results of the Ratio performed January 202</w:t>
      </w:r>
      <w:r w:rsidR="00476C8B">
        <w:rPr>
          <w:rFonts w:ascii="Times New Roman" w:hAnsi="Times New Roman"/>
          <w:sz w:val="24"/>
          <w:szCs w:val="24"/>
        </w:rPr>
        <w:t>5</w:t>
      </w:r>
      <w:r>
        <w:rPr>
          <w:rFonts w:ascii="Times New Roman" w:hAnsi="Times New Roman"/>
          <w:sz w:val="24"/>
          <w:szCs w:val="24"/>
        </w:rPr>
        <w:t xml:space="preserve"> for Montague County are:</w:t>
      </w:r>
    </w:p>
    <w:p w14:paraId="57F751A9" w14:textId="77777777" w:rsidR="00A67B90" w:rsidRDefault="00A67B90" w:rsidP="00A67B90">
      <w:pPr>
        <w:pStyle w:val="NoSpacing"/>
        <w:rPr>
          <w:rFonts w:ascii="Times New Roman" w:hAnsi="Times New Roman"/>
          <w:sz w:val="24"/>
          <w:szCs w:val="24"/>
        </w:rPr>
      </w:pPr>
    </w:p>
    <w:p w14:paraId="4604AF83" w14:textId="10BBA6B7" w:rsidR="00A67B90" w:rsidRDefault="00A67B90" w:rsidP="00A67B90">
      <w:pPr>
        <w:pStyle w:val="NoSpacing"/>
        <w:rPr>
          <w:rFonts w:ascii="Times New Roman" w:hAnsi="Times New Roman"/>
          <w:sz w:val="24"/>
          <w:szCs w:val="24"/>
        </w:rPr>
      </w:pPr>
      <w:r>
        <w:rPr>
          <w:rFonts w:ascii="Times New Roman" w:hAnsi="Times New Roman"/>
          <w:sz w:val="24"/>
          <w:szCs w:val="24"/>
        </w:rPr>
        <w:t>Arithmetic Mean</w:t>
      </w:r>
      <w:r>
        <w:rPr>
          <w:rFonts w:ascii="Times New Roman" w:hAnsi="Times New Roman"/>
          <w:sz w:val="24"/>
          <w:szCs w:val="24"/>
        </w:rPr>
        <w:tab/>
        <w:t xml:space="preserve"> </w:t>
      </w:r>
      <w:r w:rsidR="00EE6A4F">
        <w:rPr>
          <w:rFonts w:ascii="Times New Roman" w:hAnsi="Times New Roman"/>
          <w:sz w:val="24"/>
          <w:szCs w:val="24"/>
        </w:rPr>
        <w:t>101.40</w:t>
      </w:r>
    </w:p>
    <w:p w14:paraId="3CCE1CBE" w14:textId="76EE42E5" w:rsidR="00A67B90" w:rsidRDefault="00A67B90" w:rsidP="00A67B90">
      <w:pPr>
        <w:pStyle w:val="NoSpacing"/>
        <w:rPr>
          <w:rFonts w:ascii="Times New Roman" w:hAnsi="Times New Roman"/>
          <w:sz w:val="24"/>
          <w:szCs w:val="24"/>
        </w:rPr>
      </w:pPr>
      <w:r>
        <w:rPr>
          <w:rFonts w:ascii="Times New Roman" w:hAnsi="Times New Roman"/>
          <w:sz w:val="24"/>
          <w:szCs w:val="24"/>
        </w:rPr>
        <w:t xml:space="preserve">Weighted Mean </w:t>
      </w:r>
      <w:r>
        <w:rPr>
          <w:rFonts w:ascii="Times New Roman" w:hAnsi="Times New Roman"/>
          <w:sz w:val="24"/>
          <w:szCs w:val="24"/>
        </w:rPr>
        <w:tab/>
        <w:t xml:space="preserve">   99.</w:t>
      </w:r>
      <w:r w:rsidR="00EE6A4F">
        <w:rPr>
          <w:rFonts w:ascii="Times New Roman" w:hAnsi="Times New Roman"/>
          <w:sz w:val="24"/>
          <w:szCs w:val="24"/>
        </w:rPr>
        <w:t>2</w:t>
      </w:r>
      <w:r>
        <w:rPr>
          <w:rFonts w:ascii="Times New Roman" w:hAnsi="Times New Roman"/>
          <w:sz w:val="24"/>
          <w:szCs w:val="24"/>
        </w:rPr>
        <w:t>0</w:t>
      </w:r>
    </w:p>
    <w:p w14:paraId="4A316AEE" w14:textId="03CB59B9" w:rsidR="00A67B90" w:rsidRDefault="00A67B90" w:rsidP="00A67B90">
      <w:pPr>
        <w:pStyle w:val="NoSpacing"/>
        <w:rPr>
          <w:rFonts w:ascii="Times New Roman" w:hAnsi="Times New Roman"/>
          <w:sz w:val="24"/>
          <w:szCs w:val="24"/>
        </w:rPr>
      </w:pPr>
      <w:r>
        <w:rPr>
          <w:rFonts w:ascii="Times New Roman" w:hAnsi="Times New Roman"/>
          <w:sz w:val="24"/>
          <w:szCs w:val="24"/>
        </w:rPr>
        <w:t xml:space="preserve">Median </w:t>
      </w:r>
      <w:r>
        <w:rPr>
          <w:rFonts w:ascii="Times New Roman" w:hAnsi="Times New Roman"/>
          <w:sz w:val="24"/>
          <w:szCs w:val="24"/>
        </w:rPr>
        <w:tab/>
      </w:r>
      <w:r>
        <w:rPr>
          <w:rFonts w:ascii="Times New Roman" w:hAnsi="Times New Roman"/>
          <w:sz w:val="24"/>
          <w:szCs w:val="24"/>
        </w:rPr>
        <w:tab/>
        <w:t xml:space="preserve">   99.</w:t>
      </w:r>
      <w:r w:rsidR="00EE6A4F">
        <w:rPr>
          <w:rFonts w:ascii="Times New Roman" w:hAnsi="Times New Roman"/>
          <w:sz w:val="24"/>
          <w:szCs w:val="24"/>
        </w:rPr>
        <w:t>7</w:t>
      </w:r>
      <w:r>
        <w:rPr>
          <w:rFonts w:ascii="Times New Roman" w:hAnsi="Times New Roman"/>
          <w:sz w:val="24"/>
          <w:szCs w:val="24"/>
        </w:rPr>
        <w:t xml:space="preserve">0 </w:t>
      </w:r>
    </w:p>
    <w:p w14:paraId="64E0185B" w14:textId="77777777" w:rsidR="00A67B90" w:rsidRDefault="00A67B90" w:rsidP="00A67B90">
      <w:pPr>
        <w:pStyle w:val="NoSpacing"/>
        <w:rPr>
          <w:rFonts w:ascii="Times New Roman" w:hAnsi="Times New Roman"/>
          <w:sz w:val="24"/>
          <w:szCs w:val="24"/>
        </w:rPr>
      </w:pPr>
    </w:p>
    <w:p w14:paraId="04134A7B" w14:textId="77777777" w:rsidR="00A67B90" w:rsidRDefault="00A67B90" w:rsidP="00A67B90">
      <w:pPr>
        <w:pStyle w:val="NoSpacing"/>
        <w:rPr>
          <w:rFonts w:ascii="Times New Roman" w:hAnsi="Times New Roman"/>
          <w:sz w:val="24"/>
          <w:szCs w:val="24"/>
        </w:rPr>
      </w:pPr>
      <w:r>
        <w:rPr>
          <w:rFonts w:ascii="Times New Roman" w:hAnsi="Times New Roman"/>
          <w:sz w:val="24"/>
          <w:szCs w:val="24"/>
        </w:rPr>
        <w:t xml:space="preserve">Coefficient Dispersion </w:t>
      </w:r>
    </w:p>
    <w:p w14:paraId="731D07FA" w14:textId="77777777" w:rsidR="00A67B90" w:rsidRDefault="00A67B90" w:rsidP="00A67B90">
      <w:pPr>
        <w:pStyle w:val="NoSpacing"/>
        <w:rPr>
          <w:rFonts w:ascii="Times New Roman" w:hAnsi="Times New Roman"/>
          <w:sz w:val="24"/>
          <w:szCs w:val="24"/>
        </w:rPr>
      </w:pPr>
    </w:p>
    <w:p w14:paraId="3BC803F9" w14:textId="7B0B4A71" w:rsidR="00A67B90" w:rsidRDefault="00A67B90" w:rsidP="00A67B90">
      <w:pPr>
        <w:pStyle w:val="NoSpacing"/>
        <w:rPr>
          <w:rFonts w:ascii="Times New Roman" w:hAnsi="Times New Roman"/>
          <w:sz w:val="24"/>
          <w:szCs w:val="24"/>
        </w:rPr>
      </w:pPr>
      <w:r>
        <w:rPr>
          <w:rFonts w:ascii="Times New Roman" w:hAnsi="Times New Roman"/>
          <w:sz w:val="24"/>
          <w:szCs w:val="24"/>
        </w:rPr>
        <w:t xml:space="preserve">Arith-Mean </w:t>
      </w:r>
      <w:r>
        <w:rPr>
          <w:rFonts w:ascii="Times New Roman" w:hAnsi="Times New Roman"/>
          <w:sz w:val="24"/>
          <w:szCs w:val="24"/>
        </w:rPr>
        <w:tab/>
      </w:r>
      <w:r>
        <w:rPr>
          <w:rFonts w:ascii="Times New Roman" w:hAnsi="Times New Roman"/>
          <w:sz w:val="24"/>
          <w:szCs w:val="24"/>
        </w:rPr>
        <w:tab/>
        <w:t xml:space="preserve">    1</w:t>
      </w:r>
      <w:r w:rsidR="00EE6A4F">
        <w:rPr>
          <w:rFonts w:ascii="Times New Roman" w:hAnsi="Times New Roman"/>
          <w:sz w:val="24"/>
          <w:szCs w:val="24"/>
        </w:rPr>
        <w:t>6</w:t>
      </w:r>
      <w:r>
        <w:rPr>
          <w:rFonts w:ascii="Times New Roman" w:hAnsi="Times New Roman"/>
          <w:sz w:val="24"/>
          <w:szCs w:val="24"/>
        </w:rPr>
        <w:t>.62</w:t>
      </w:r>
    </w:p>
    <w:p w14:paraId="034D2E91" w14:textId="5A87E645" w:rsidR="00A67B90" w:rsidRDefault="00A67B90" w:rsidP="00A67B90">
      <w:pPr>
        <w:pStyle w:val="NoSpacing"/>
        <w:rPr>
          <w:rFonts w:ascii="Times New Roman" w:hAnsi="Times New Roman"/>
          <w:sz w:val="24"/>
          <w:szCs w:val="24"/>
        </w:rPr>
      </w:pPr>
      <w:r>
        <w:rPr>
          <w:rFonts w:ascii="Times New Roman" w:hAnsi="Times New Roman"/>
          <w:sz w:val="24"/>
          <w:szCs w:val="24"/>
        </w:rPr>
        <w:t>Weighted Mean</w:t>
      </w:r>
      <w:r>
        <w:rPr>
          <w:rFonts w:ascii="Times New Roman" w:hAnsi="Times New Roman"/>
          <w:sz w:val="24"/>
          <w:szCs w:val="24"/>
        </w:rPr>
        <w:tab/>
        <w:t xml:space="preserve">    1</w:t>
      </w:r>
      <w:r w:rsidR="00EE6A4F">
        <w:rPr>
          <w:rFonts w:ascii="Times New Roman" w:hAnsi="Times New Roman"/>
          <w:sz w:val="24"/>
          <w:szCs w:val="24"/>
        </w:rPr>
        <w:t>6</w:t>
      </w:r>
      <w:r>
        <w:rPr>
          <w:rFonts w:ascii="Times New Roman" w:hAnsi="Times New Roman"/>
          <w:sz w:val="24"/>
          <w:szCs w:val="24"/>
        </w:rPr>
        <w:t>.</w:t>
      </w:r>
      <w:r w:rsidR="00EE6A4F">
        <w:rPr>
          <w:rFonts w:ascii="Times New Roman" w:hAnsi="Times New Roman"/>
          <w:sz w:val="24"/>
          <w:szCs w:val="24"/>
        </w:rPr>
        <w:t>24</w:t>
      </w:r>
    </w:p>
    <w:p w14:paraId="4300329D" w14:textId="7C40B427" w:rsidR="00A67B90" w:rsidRDefault="00A67B90" w:rsidP="00A67B90">
      <w:pPr>
        <w:pStyle w:val="NoSpacing"/>
        <w:rPr>
          <w:rFonts w:ascii="Times New Roman" w:hAnsi="Times New Roman"/>
          <w:sz w:val="24"/>
          <w:szCs w:val="24"/>
        </w:rPr>
      </w:pPr>
      <w:r>
        <w:rPr>
          <w:rFonts w:ascii="Times New Roman" w:hAnsi="Times New Roman"/>
          <w:sz w:val="24"/>
          <w:szCs w:val="24"/>
        </w:rPr>
        <w:t xml:space="preserve">Median </w:t>
      </w:r>
      <w:r>
        <w:rPr>
          <w:rFonts w:ascii="Times New Roman" w:hAnsi="Times New Roman"/>
          <w:sz w:val="24"/>
          <w:szCs w:val="24"/>
        </w:rPr>
        <w:tab/>
      </w:r>
      <w:r>
        <w:rPr>
          <w:rFonts w:ascii="Times New Roman" w:hAnsi="Times New Roman"/>
          <w:sz w:val="24"/>
          <w:szCs w:val="24"/>
        </w:rPr>
        <w:tab/>
        <w:t xml:space="preserve">    1</w:t>
      </w:r>
      <w:r w:rsidR="00EE6A4F">
        <w:rPr>
          <w:rFonts w:ascii="Times New Roman" w:hAnsi="Times New Roman"/>
          <w:sz w:val="24"/>
          <w:szCs w:val="24"/>
        </w:rPr>
        <w:t>6</w:t>
      </w:r>
      <w:r>
        <w:rPr>
          <w:rFonts w:ascii="Times New Roman" w:hAnsi="Times New Roman"/>
          <w:sz w:val="24"/>
          <w:szCs w:val="24"/>
        </w:rPr>
        <w:t>.</w:t>
      </w:r>
      <w:r w:rsidR="00EE6A4F">
        <w:rPr>
          <w:rFonts w:ascii="Times New Roman" w:hAnsi="Times New Roman"/>
          <w:sz w:val="24"/>
          <w:szCs w:val="24"/>
        </w:rPr>
        <w:t>38</w:t>
      </w:r>
    </w:p>
    <w:p w14:paraId="79A284E1" w14:textId="77777777" w:rsidR="00A67B90" w:rsidRDefault="00A67B90" w:rsidP="00A67B90">
      <w:pPr>
        <w:pStyle w:val="NoSpacing"/>
        <w:rPr>
          <w:rFonts w:ascii="Times New Roman" w:hAnsi="Times New Roman"/>
          <w:sz w:val="24"/>
          <w:szCs w:val="24"/>
        </w:rPr>
      </w:pPr>
    </w:p>
    <w:p w14:paraId="6AD0A665" w14:textId="13BB2721" w:rsidR="00A67B90" w:rsidRDefault="00A67B90" w:rsidP="00A67B90">
      <w:pPr>
        <w:pStyle w:val="NoSpacing"/>
        <w:rPr>
          <w:rFonts w:ascii="Times New Roman" w:hAnsi="Times New Roman"/>
          <w:b/>
          <w:sz w:val="24"/>
          <w:szCs w:val="24"/>
        </w:rPr>
      </w:pPr>
      <w:r w:rsidRPr="00536C04">
        <w:rPr>
          <w:rFonts w:ascii="Times New Roman" w:hAnsi="Times New Roman"/>
          <w:b/>
          <w:sz w:val="24"/>
          <w:szCs w:val="24"/>
        </w:rPr>
        <w:t>New Construction Effort:</w:t>
      </w:r>
      <w:r>
        <w:rPr>
          <w:rFonts w:ascii="Times New Roman" w:hAnsi="Times New Roman"/>
          <w:b/>
          <w:sz w:val="24"/>
          <w:szCs w:val="24"/>
        </w:rPr>
        <w:t xml:space="preserve">  June 15, 20</w:t>
      </w:r>
      <w:r w:rsidR="00EE6A4F">
        <w:rPr>
          <w:rFonts w:ascii="Times New Roman" w:hAnsi="Times New Roman"/>
          <w:b/>
          <w:sz w:val="24"/>
          <w:szCs w:val="24"/>
        </w:rPr>
        <w:t>24</w:t>
      </w:r>
      <w:r>
        <w:rPr>
          <w:rFonts w:ascii="Times New Roman" w:hAnsi="Times New Roman"/>
          <w:b/>
          <w:sz w:val="24"/>
          <w:szCs w:val="24"/>
        </w:rPr>
        <w:t>– April 1, 202</w:t>
      </w:r>
      <w:r w:rsidR="00EE6A4F">
        <w:rPr>
          <w:rFonts w:ascii="Times New Roman" w:hAnsi="Times New Roman"/>
          <w:b/>
          <w:sz w:val="24"/>
          <w:szCs w:val="24"/>
        </w:rPr>
        <w:t>5</w:t>
      </w:r>
    </w:p>
    <w:p w14:paraId="618C57DE" w14:textId="77777777" w:rsidR="00A67B90" w:rsidRDefault="00A67B90" w:rsidP="00A67B90">
      <w:pPr>
        <w:pStyle w:val="NoSpacing"/>
        <w:rPr>
          <w:rFonts w:ascii="Times New Roman" w:hAnsi="Times New Roman"/>
          <w:sz w:val="24"/>
          <w:szCs w:val="24"/>
        </w:rPr>
      </w:pPr>
    </w:p>
    <w:p w14:paraId="6013BE22" w14:textId="77777777" w:rsidR="00A67B90" w:rsidRDefault="00A67B90" w:rsidP="00A67B90">
      <w:pPr>
        <w:pStyle w:val="NoSpacing"/>
        <w:rPr>
          <w:rFonts w:ascii="Times New Roman" w:hAnsi="Times New Roman"/>
          <w:sz w:val="24"/>
          <w:szCs w:val="24"/>
        </w:rPr>
      </w:pPr>
      <w:r>
        <w:rPr>
          <w:rFonts w:ascii="Times New Roman" w:hAnsi="Times New Roman"/>
          <w:sz w:val="24"/>
          <w:szCs w:val="24"/>
        </w:rPr>
        <w:t>Since building permits are not issued in all of Montague County nor in any of the unincorporated cities located in the county, the identification of new construction was performed by utilizing the following resources.</w:t>
      </w:r>
    </w:p>
    <w:p w14:paraId="7071FA10" w14:textId="77777777" w:rsidR="00A67B90" w:rsidRDefault="00A67B90" w:rsidP="00A67B90">
      <w:pPr>
        <w:pStyle w:val="NoSpacing"/>
        <w:rPr>
          <w:rFonts w:ascii="Times New Roman" w:hAnsi="Times New Roman"/>
          <w:sz w:val="24"/>
          <w:szCs w:val="24"/>
        </w:rPr>
      </w:pPr>
    </w:p>
    <w:p w14:paraId="5F931E3D" w14:textId="77777777" w:rsidR="00A67B90" w:rsidRDefault="00A67B90" w:rsidP="00A67B90">
      <w:pPr>
        <w:pStyle w:val="NoSpacing"/>
        <w:numPr>
          <w:ilvl w:val="0"/>
          <w:numId w:val="4"/>
        </w:numPr>
        <w:rPr>
          <w:rFonts w:ascii="Times New Roman" w:hAnsi="Times New Roman"/>
          <w:sz w:val="24"/>
          <w:szCs w:val="24"/>
        </w:rPr>
      </w:pPr>
      <w:r>
        <w:rPr>
          <w:rFonts w:ascii="Times New Roman" w:hAnsi="Times New Roman"/>
          <w:sz w:val="24"/>
          <w:szCs w:val="24"/>
        </w:rPr>
        <w:t>Field appraiser drive-outs</w:t>
      </w:r>
    </w:p>
    <w:p w14:paraId="29FBEFB1" w14:textId="77777777" w:rsidR="00A67B90" w:rsidRDefault="00A67B90" w:rsidP="00A67B90">
      <w:pPr>
        <w:pStyle w:val="NoSpacing"/>
        <w:numPr>
          <w:ilvl w:val="0"/>
          <w:numId w:val="4"/>
        </w:numPr>
        <w:rPr>
          <w:rFonts w:ascii="Times New Roman" w:hAnsi="Times New Roman"/>
          <w:sz w:val="24"/>
          <w:szCs w:val="24"/>
        </w:rPr>
      </w:pPr>
      <w:r>
        <w:rPr>
          <w:rFonts w:ascii="Times New Roman" w:hAnsi="Times New Roman"/>
          <w:sz w:val="24"/>
          <w:szCs w:val="24"/>
        </w:rPr>
        <w:t>Sewer permits from the county</w:t>
      </w:r>
    </w:p>
    <w:p w14:paraId="4127117F" w14:textId="77777777" w:rsidR="00A67B90" w:rsidRDefault="00A67B90" w:rsidP="00A67B90">
      <w:pPr>
        <w:pStyle w:val="NoSpacing"/>
        <w:numPr>
          <w:ilvl w:val="0"/>
          <w:numId w:val="4"/>
        </w:numPr>
        <w:rPr>
          <w:rFonts w:ascii="Times New Roman" w:hAnsi="Times New Roman"/>
          <w:sz w:val="24"/>
          <w:szCs w:val="24"/>
        </w:rPr>
      </w:pPr>
      <w:r>
        <w:rPr>
          <w:rFonts w:ascii="Times New Roman" w:hAnsi="Times New Roman"/>
          <w:sz w:val="24"/>
          <w:szCs w:val="24"/>
        </w:rPr>
        <w:lastRenderedPageBreak/>
        <w:t>Electric connections</w:t>
      </w:r>
    </w:p>
    <w:p w14:paraId="12D717D2" w14:textId="77777777" w:rsidR="00A67B90" w:rsidRDefault="00A67B90" w:rsidP="00A67B90">
      <w:pPr>
        <w:pStyle w:val="NoSpacing"/>
        <w:numPr>
          <w:ilvl w:val="0"/>
          <w:numId w:val="4"/>
        </w:numPr>
        <w:rPr>
          <w:rFonts w:ascii="Times New Roman" w:hAnsi="Times New Roman"/>
          <w:sz w:val="24"/>
          <w:szCs w:val="24"/>
        </w:rPr>
      </w:pPr>
      <w:r>
        <w:rPr>
          <w:rFonts w:ascii="Times New Roman" w:hAnsi="Times New Roman"/>
          <w:sz w:val="24"/>
          <w:szCs w:val="24"/>
        </w:rPr>
        <w:t xml:space="preserve">Deeds of Trust </w:t>
      </w:r>
    </w:p>
    <w:p w14:paraId="60B98F3B" w14:textId="77777777" w:rsidR="00A67B90" w:rsidRDefault="00A67B90" w:rsidP="00A67B90">
      <w:pPr>
        <w:pStyle w:val="NoSpacing"/>
        <w:numPr>
          <w:ilvl w:val="0"/>
          <w:numId w:val="4"/>
        </w:numPr>
        <w:rPr>
          <w:rFonts w:ascii="Times New Roman" w:hAnsi="Times New Roman"/>
          <w:sz w:val="24"/>
          <w:szCs w:val="24"/>
        </w:rPr>
      </w:pPr>
      <w:r>
        <w:rPr>
          <w:rFonts w:ascii="Times New Roman" w:hAnsi="Times New Roman"/>
          <w:sz w:val="24"/>
          <w:szCs w:val="24"/>
        </w:rPr>
        <w:t>Mechanics Liens</w:t>
      </w:r>
    </w:p>
    <w:p w14:paraId="49B8B043" w14:textId="77777777" w:rsidR="00A67B90" w:rsidRDefault="00A67B90" w:rsidP="00A67B90">
      <w:pPr>
        <w:pStyle w:val="NoSpacing"/>
        <w:numPr>
          <w:ilvl w:val="0"/>
          <w:numId w:val="4"/>
        </w:numPr>
        <w:rPr>
          <w:rFonts w:ascii="Times New Roman" w:hAnsi="Times New Roman"/>
          <w:sz w:val="24"/>
          <w:szCs w:val="24"/>
        </w:rPr>
      </w:pPr>
      <w:r>
        <w:rPr>
          <w:rFonts w:ascii="Times New Roman" w:hAnsi="Times New Roman"/>
          <w:sz w:val="24"/>
          <w:szCs w:val="24"/>
        </w:rPr>
        <w:t>Property owners</w:t>
      </w:r>
    </w:p>
    <w:p w14:paraId="4D4ECE69" w14:textId="77777777" w:rsidR="00A67B90" w:rsidRDefault="00A67B90" w:rsidP="00A67B90">
      <w:pPr>
        <w:pStyle w:val="NoSpacing"/>
        <w:numPr>
          <w:ilvl w:val="0"/>
          <w:numId w:val="4"/>
        </w:numPr>
        <w:rPr>
          <w:rFonts w:ascii="Times New Roman" w:hAnsi="Times New Roman"/>
          <w:sz w:val="24"/>
          <w:szCs w:val="24"/>
        </w:rPr>
      </w:pPr>
      <w:r>
        <w:rPr>
          <w:rFonts w:ascii="Times New Roman" w:hAnsi="Times New Roman"/>
          <w:sz w:val="24"/>
          <w:szCs w:val="24"/>
        </w:rPr>
        <w:t>Aerial maps</w:t>
      </w:r>
    </w:p>
    <w:p w14:paraId="63516457" w14:textId="77777777" w:rsidR="00A67B90" w:rsidRDefault="00A67B90" w:rsidP="00A67B90">
      <w:pPr>
        <w:pStyle w:val="NoSpacing"/>
        <w:rPr>
          <w:rFonts w:ascii="Times New Roman" w:hAnsi="Times New Roman"/>
          <w:sz w:val="24"/>
          <w:szCs w:val="24"/>
        </w:rPr>
      </w:pPr>
    </w:p>
    <w:p w14:paraId="44834169" w14:textId="53ECFDF1" w:rsidR="00A67B90" w:rsidRPr="008661B8" w:rsidRDefault="00A67B90" w:rsidP="00A67B90">
      <w:r>
        <w:t>202</w:t>
      </w:r>
      <w:r w:rsidR="00EE6A4F">
        <w:t>5</w:t>
      </w:r>
      <w:r>
        <w:t xml:space="preserve"> Montague County</w:t>
      </w:r>
    </w:p>
    <w:p w14:paraId="7A7130E2" w14:textId="77777777" w:rsidR="00A67B90" w:rsidRPr="008661B8" w:rsidRDefault="00A67B90" w:rsidP="00A67B90"/>
    <w:p w14:paraId="636D42D7" w14:textId="028642AB" w:rsidR="00A67B90" w:rsidRPr="00550215" w:rsidRDefault="00A67B90" w:rsidP="00A67B90">
      <w:pPr>
        <w:rPr>
          <w:highlight w:val="yellow"/>
        </w:rPr>
      </w:pPr>
      <w:r>
        <w:t>Total number of Parcels</w:t>
      </w:r>
      <w:r>
        <w:tab/>
      </w:r>
      <w:r>
        <w:tab/>
      </w:r>
      <w:r>
        <w:tab/>
        <w:t xml:space="preserve">      </w:t>
      </w:r>
      <w:r w:rsidR="00EE6A4F">
        <w:t>64,223</w:t>
      </w:r>
    </w:p>
    <w:p w14:paraId="71AA0BF1" w14:textId="54A47AF7" w:rsidR="00A67B90" w:rsidRDefault="00A67B90" w:rsidP="00A67B90">
      <w:r w:rsidRPr="00453590">
        <w:t>Total Net Value</w:t>
      </w:r>
      <w:r w:rsidRPr="00453590">
        <w:tab/>
      </w:r>
      <w:r>
        <w:tab/>
      </w:r>
      <w:r>
        <w:tab/>
      </w:r>
      <w:r>
        <w:tab/>
        <w:t xml:space="preserve">     2,</w:t>
      </w:r>
      <w:r w:rsidR="006F47A1">
        <w:t>903,996,010</w:t>
      </w:r>
      <w:r>
        <w:t xml:space="preserve"> Real, Personal &amp; Mineral</w:t>
      </w:r>
    </w:p>
    <w:p w14:paraId="23991497" w14:textId="1BB10537" w:rsidR="00A67B90" w:rsidRDefault="00A67B90" w:rsidP="00A67B90">
      <w:r>
        <w:t>Rolling Stock</w:t>
      </w:r>
      <w:r>
        <w:tab/>
      </w:r>
      <w:r>
        <w:tab/>
      </w:r>
      <w:r>
        <w:tab/>
      </w:r>
      <w:r>
        <w:tab/>
      </w:r>
      <w:r>
        <w:tab/>
        <w:t xml:space="preserve">          1</w:t>
      </w:r>
      <w:r w:rsidR="006F47A1">
        <w:t>5,803,280</w:t>
      </w:r>
      <w:r>
        <w:t xml:space="preserve"> Rolling Stock</w:t>
      </w:r>
    </w:p>
    <w:p w14:paraId="42B79808" w14:textId="00EFBC6F" w:rsidR="00A67B90" w:rsidRDefault="00A67B90" w:rsidP="00A67B90">
      <w:r>
        <w:t>Total Taxable                                                       2,</w:t>
      </w:r>
      <w:r w:rsidR="006F47A1">
        <w:t>9</w:t>
      </w:r>
      <w:r w:rsidR="00476C8B">
        <w:t>19,799,290</w:t>
      </w:r>
    </w:p>
    <w:p w14:paraId="18504712" w14:textId="77777777" w:rsidR="00A67B90" w:rsidRDefault="00A67B90" w:rsidP="00A67B90">
      <w:r w:rsidRPr="00453590">
        <w:tab/>
      </w:r>
    </w:p>
    <w:p w14:paraId="5AC3410C" w14:textId="77777777" w:rsidR="00A67B90" w:rsidRPr="00453590" w:rsidRDefault="00A67B90" w:rsidP="00A67B90">
      <w:r w:rsidRPr="00453590">
        <w:t xml:space="preserve">Exemption Data </w:t>
      </w:r>
    </w:p>
    <w:p w14:paraId="0FA35C74" w14:textId="50BC2F59" w:rsidR="00A67B90" w:rsidRPr="00453590" w:rsidRDefault="00A67B90" w:rsidP="00A67B90">
      <w:r>
        <w:t xml:space="preserve">General Homestead   </w:t>
      </w:r>
      <w:r w:rsidR="006F47A1">
        <w:t>3,304</w:t>
      </w:r>
      <w:r>
        <w:t xml:space="preserve"> count          </w:t>
      </w:r>
      <w:r w:rsidRPr="00453590">
        <w:t xml:space="preserve">Value Lost </w:t>
      </w:r>
      <w:r w:rsidR="006F47A1">
        <w:t>140,545,623</w:t>
      </w:r>
      <w:r>
        <w:t xml:space="preserve"> </w:t>
      </w:r>
    </w:p>
    <w:p w14:paraId="091E819F" w14:textId="79FE0EF3" w:rsidR="00A67B90" w:rsidRPr="00453590" w:rsidRDefault="00A67B90" w:rsidP="00A67B90">
      <w:r>
        <w:t>Over 65 Frozen         2,</w:t>
      </w:r>
      <w:r w:rsidR="006F47A1">
        <w:t>936</w:t>
      </w:r>
      <w:r>
        <w:t xml:space="preserve"> </w:t>
      </w:r>
      <w:r w:rsidRPr="00453590">
        <w:t>co</w:t>
      </w:r>
      <w:r>
        <w:t xml:space="preserve">unt           Value Lost </w:t>
      </w:r>
      <w:r w:rsidR="006F47A1">
        <w:t>121,187,408</w:t>
      </w:r>
    </w:p>
    <w:p w14:paraId="725F5C11" w14:textId="6822B9A9" w:rsidR="00A67B90" w:rsidRPr="00453590" w:rsidRDefault="00A67B90" w:rsidP="00A67B90">
      <w:r w:rsidRPr="00453590">
        <w:t>Disabled Veteran</w:t>
      </w:r>
      <w:r>
        <w:t>s</w:t>
      </w:r>
      <w:r>
        <w:tab/>
        <w:t xml:space="preserve"> </w:t>
      </w:r>
      <w:r w:rsidR="006F47A1">
        <w:t>204</w:t>
      </w:r>
      <w:r w:rsidRPr="00453590">
        <w:t xml:space="preserve"> </w:t>
      </w:r>
      <w:r>
        <w:t xml:space="preserve">count           Value Lost    </w:t>
      </w:r>
      <w:r w:rsidR="006F47A1">
        <w:t xml:space="preserve"> 1,915,702</w:t>
      </w:r>
      <w:r>
        <w:t xml:space="preserve">  </w:t>
      </w:r>
    </w:p>
    <w:p w14:paraId="4F5BF7EE" w14:textId="129AAD9E" w:rsidR="00A67B90" w:rsidRPr="00453590" w:rsidRDefault="00A67B90" w:rsidP="00A67B90">
      <w:r>
        <w:t xml:space="preserve">Frozen Veterans            </w:t>
      </w:r>
      <w:r w:rsidR="006F47A1">
        <w:t xml:space="preserve">  </w:t>
      </w:r>
      <w:proofErr w:type="gramStart"/>
      <w:r w:rsidR="006F47A1">
        <w:t>119</w:t>
      </w:r>
      <w:r>
        <w:t xml:space="preserve">  count</w:t>
      </w:r>
      <w:proofErr w:type="gramEnd"/>
      <w:r>
        <w:t xml:space="preserve">       Value Lost     </w:t>
      </w:r>
      <w:r w:rsidR="006F47A1">
        <w:t>1,128,698</w:t>
      </w:r>
    </w:p>
    <w:p w14:paraId="164333C4" w14:textId="12572E52" w:rsidR="00A67B90" w:rsidRPr="00453590" w:rsidRDefault="00A67B90" w:rsidP="00A67B90">
      <w:r>
        <w:t xml:space="preserve">100 % Homesite Veteran </w:t>
      </w:r>
      <w:r w:rsidR="006F47A1">
        <w:t>207</w:t>
      </w:r>
      <w:r>
        <w:t xml:space="preserve"> count       Value Lost   </w:t>
      </w:r>
      <w:r w:rsidR="006F47A1">
        <w:t>42,909,524</w:t>
      </w:r>
    </w:p>
    <w:p w14:paraId="2B259290" w14:textId="0D526D3C" w:rsidR="00A67B90" w:rsidRPr="00453590" w:rsidRDefault="00A67B90" w:rsidP="00A67B90">
      <w:r>
        <w:t xml:space="preserve">Constitutional Exempt     </w:t>
      </w:r>
      <w:r w:rsidR="00197087">
        <w:t xml:space="preserve">756 </w:t>
      </w:r>
      <w:r>
        <w:t>count        Value Lost 1</w:t>
      </w:r>
      <w:r w:rsidR="00197087">
        <w:t>88,074,393</w:t>
      </w:r>
    </w:p>
    <w:p w14:paraId="5B74662B" w14:textId="77777777" w:rsidR="00A67B90" w:rsidRPr="00453590" w:rsidRDefault="00A67B90" w:rsidP="00A67B90"/>
    <w:p w14:paraId="1B8060E1" w14:textId="76A27486" w:rsidR="00A67B90" w:rsidRPr="00453590" w:rsidRDefault="00A67B90" w:rsidP="00A67B90">
      <w:r w:rsidRPr="00453590">
        <w:t>New Homesite Value</w:t>
      </w:r>
      <w:r w:rsidRPr="00453590">
        <w:tab/>
      </w:r>
      <w:r>
        <w:t xml:space="preserve">    </w:t>
      </w:r>
      <w:proofErr w:type="gramStart"/>
      <w:r w:rsidR="00F66754">
        <w:t>640</w:t>
      </w:r>
      <w:r>
        <w:t xml:space="preserve">  count</w:t>
      </w:r>
      <w:proofErr w:type="gramEnd"/>
      <w:r>
        <w:t xml:space="preserve"> </w:t>
      </w:r>
      <w:r>
        <w:tab/>
        <w:t xml:space="preserve">           </w:t>
      </w:r>
      <w:r w:rsidR="00F66754">
        <w:t>59,818,390</w:t>
      </w:r>
    </w:p>
    <w:p w14:paraId="271168BD" w14:textId="7D5D6433" w:rsidR="00A67B90" w:rsidRDefault="00A67B90" w:rsidP="00A67B90">
      <w:r>
        <w:t xml:space="preserve">Commercial Category   </w:t>
      </w:r>
      <w:r w:rsidR="009F4642">
        <w:t xml:space="preserve">  863</w:t>
      </w:r>
      <w:r>
        <w:tab/>
        <w:t>count</w:t>
      </w:r>
      <w:r>
        <w:tab/>
        <w:t xml:space="preserve">          26</w:t>
      </w:r>
      <w:r w:rsidR="009F4642">
        <w:t>4,204,939</w:t>
      </w:r>
    </w:p>
    <w:p w14:paraId="61EBDBB2" w14:textId="7EFDDEA7" w:rsidR="00A67B90" w:rsidRDefault="00A67B90" w:rsidP="00A67B90">
      <w:r>
        <w:t xml:space="preserve">Oil &amp; Gas Category   </w:t>
      </w:r>
      <w:r w:rsidR="009F4642">
        <w:t>36,109</w:t>
      </w:r>
      <w:r>
        <w:t xml:space="preserve"> count      </w:t>
      </w:r>
      <w:r w:rsidR="009F4642">
        <w:t xml:space="preserve">       </w:t>
      </w:r>
      <w:r>
        <w:t xml:space="preserve"> </w:t>
      </w:r>
      <w:r w:rsidR="009F4642">
        <w:t xml:space="preserve">  95,557,340</w:t>
      </w:r>
    </w:p>
    <w:p w14:paraId="30582EFB" w14:textId="77777777" w:rsidR="00A67B90" w:rsidRDefault="00A67B90" w:rsidP="00A67B90"/>
    <w:p w14:paraId="420F1B91" w14:textId="77777777" w:rsidR="00A67B90" w:rsidRDefault="00A67B90" w:rsidP="00A67B90"/>
    <w:p w14:paraId="58A14EFC" w14:textId="77777777" w:rsidR="00A67B90" w:rsidRDefault="00A67B90" w:rsidP="00A67B90"/>
    <w:p w14:paraId="3F5FF410" w14:textId="77777777" w:rsidR="00A67B90" w:rsidRDefault="00A67B90" w:rsidP="00A67B90"/>
    <w:p w14:paraId="5F22CD79" w14:textId="77777777" w:rsidR="00A67B90" w:rsidRDefault="00A67B90" w:rsidP="00A67B90"/>
    <w:p w14:paraId="5531759F" w14:textId="77777777" w:rsidR="00A67B90" w:rsidRDefault="00A67B90" w:rsidP="00A67B90"/>
    <w:p w14:paraId="657A265B" w14:textId="77777777" w:rsidR="00A67B90" w:rsidRDefault="00A67B90" w:rsidP="00A67B90"/>
    <w:p w14:paraId="45E11EA8" w14:textId="7D03CB84" w:rsidR="0030191C" w:rsidRDefault="0030191C"/>
    <w:sectPr w:rsidR="0030191C" w:rsidSect="003F153D">
      <w:pgSz w:w="12240" w:h="15840" w:code="1"/>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56925"/>
    <w:multiLevelType w:val="hybridMultilevel"/>
    <w:tmpl w:val="1F3A5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E10CE9"/>
    <w:multiLevelType w:val="hybridMultilevel"/>
    <w:tmpl w:val="D7DE2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D15944"/>
    <w:multiLevelType w:val="hybridMultilevel"/>
    <w:tmpl w:val="85F21F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24372CF"/>
    <w:multiLevelType w:val="hybridMultilevel"/>
    <w:tmpl w:val="8AF67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242688">
    <w:abstractNumId w:val="1"/>
  </w:num>
  <w:num w:numId="2" w16cid:durableId="1724475212">
    <w:abstractNumId w:val="3"/>
  </w:num>
  <w:num w:numId="3" w16cid:durableId="754786725">
    <w:abstractNumId w:val="2"/>
  </w:num>
  <w:num w:numId="4" w16cid:durableId="95683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B90"/>
    <w:rsid w:val="00026262"/>
    <w:rsid w:val="00196B95"/>
    <w:rsid w:val="00197087"/>
    <w:rsid w:val="00217848"/>
    <w:rsid w:val="002D6A6C"/>
    <w:rsid w:val="0030191C"/>
    <w:rsid w:val="00326AEF"/>
    <w:rsid w:val="003F153D"/>
    <w:rsid w:val="00470A67"/>
    <w:rsid w:val="00476C8B"/>
    <w:rsid w:val="006F47A1"/>
    <w:rsid w:val="009B224D"/>
    <w:rsid w:val="009E38C1"/>
    <w:rsid w:val="009F4642"/>
    <w:rsid w:val="00A67B90"/>
    <w:rsid w:val="00BC2A0D"/>
    <w:rsid w:val="00D003EB"/>
    <w:rsid w:val="00E07F0D"/>
    <w:rsid w:val="00E54C11"/>
    <w:rsid w:val="00EA1987"/>
    <w:rsid w:val="00EE6A4F"/>
    <w:rsid w:val="00F66754"/>
    <w:rsid w:val="00F85D87"/>
    <w:rsid w:val="00FC0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AE844"/>
  <w15:chartTrackingRefBased/>
  <w15:docId w15:val="{1F8095D3-5A64-4DEC-9816-0ACFCB840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90"/>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67B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7B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7B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7B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7B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7B9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7B9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7B9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7B9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7B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7B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7B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7B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7B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7B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7B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7B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7B90"/>
    <w:rPr>
      <w:rFonts w:eastAsiaTheme="majorEastAsia" w:cstheme="majorBidi"/>
      <w:color w:val="272727" w:themeColor="text1" w:themeTint="D8"/>
    </w:rPr>
  </w:style>
  <w:style w:type="paragraph" w:styleId="Title">
    <w:name w:val="Title"/>
    <w:basedOn w:val="Normal"/>
    <w:next w:val="Normal"/>
    <w:link w:val="TitleChar"/>
    <w:uiPriority w:val="10"/>
    <w:qFormat/>
    <w:rsid w:val="00A67B9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7B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7B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7B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7B90"/>
    <w:pPr>
      <w:spacing w:before="160"/>
      <w:jc w:val="center"/>
    </w:pPr>
    <w:rPr>
      <w:i/>
      <w:iCs/>
      <w:color w:val="404040" w:themeColor="text1" w:themeTint="BF"/>
    </w:rPr>
  </w:style>
  <w:style w:type="character" w:customStyle="1" w:styleId="QuoteChar">
    <w:name w:val="Quote Char"/>
    <w:basedOn w:val="DefaultParagraphFont"/>
    <w:link w:val="Quote"/>
    <w:uiPriority w:val="29"/>
    <w:rsid w:val="00A67B90"/>
    <w:rPr>
      <w:i/>
      <w:iCs/>
      <w:color w:val="404040" w:themeColor="text1" w:themeTint="BF"/>
    </w:rPr>
  </w:style>
  <w:style w:type="paragraph" w:styleId="ListParagraph">
    <w:name w:val="List Paragraph"/>
    <w:basedOn w:val="Normal"/>
    <w:uiPriority w:val="34"/>
    <w:qFormat/>
    <w:rsid w:val="00A67B90"/>
    <w:pPr>
      <w:ind w:left="720"/>
      <w:contextualSpacing/>
    </w:pPr>
  </w:style>
  <w:style w:type="character" w:styleId="IntenseEmphasis">
    <w:name w:val="Intense Emphasis"/>
    <w:basedOn w:val="DefaultParagraphFont"/>
    <w:uiPriority w:val="21"/>
    <w:qFormat/>
    <w:rsid w:val="00A67B90"/>
    <w:rPr>
      <w:i/>
      <w:iCs/>
      <w:color w:val="0F4761" w:themeColor="accent1" w:themeShade="BF"/>
    </w:rPr>
  </w:style>
  <w:style w:type="paragraph" w:styleId="IntenseQuote">
    <w:name w:val="Intense Quote"/>
    <w:basedOn w:val="Normal"/>
    <w:next w:val="Normal"/>
    <w:link w:val="IntenseQuoteChar"/>
    <w:uiPriority w:val="30"/>
    <w:qFormat/>
    <w:rsid w:val="00A67B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7B90"/>
    <w:rPr>
      <w:i/>
      <w:iCs/>
      <w:color w:val="0F4761" w:themeColor="accent1" w:themeShade="BF"/>
    </w:rPr>
  </w:style>
  <w:style w:type="character" w:styleId="IntenseReference">
    <w:name w:val="Intense Reference"/>
    <w:basedOn w:val="DefaultParagraphFont"/>
    <w:uiPriority w:val="32"/>
    <w:qFormat/>
    <w:rsid w:val="00A67B90"/>
    <w:rPr>
      <w:b/>
      <w:bCs/>
      <w:smallCaps/>
      <w:color w:val="0F4761" w:themeColor="accent1" w:themeShade="BF"/>
      <w:spacing w:val="5"/>
    </w:rPr>
  </w:style>
  <w:style w:type="paragraph" w:styleId="NoSpacing">
    <w:name w:val="No Spacing"/>
    <w:qFormat/>
    <w:rsid w:val="00A67B90"/>
    <w:pPr>
      <w:spacing w:after="0" w:line="240" w:lineRule="auto"/>
    </w:pPr>
    <w:rPr>
      <w:rFonts w:ascii="Calibri" w:eastAsia="Times New Roman"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Montague CAD</dc:creator>
  <cp:keywords/>
  <dc:description/>
  <cp:lastModifiedBy>Montague CAD</cp:lastModifiedBy>
  <cp:revision>42</cp:revision>
  <cp:lastPrinted>2025-10-08T21:38:00Z</cp:lastPrinted>
  <dcterms:created xsi:type="dcterms:W3CDTF">2025-10-08T15:28:00Z</dcterms:created>
  <dcterms:modified xsi:type="dcterms:W3CDTF">2025-10-08T21:41:00Z</dcterms:modified>
</cp:coreProperties>
</file>